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6464"/>
        <w:gridCol w:w="1162"/>
      </w:tblGrid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2BCA" w:rsidRPr="003B584A" w:rsidRDefault="009D2BCA" w:rsidP="00EC168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  <w:r w:rsidRPr="003B584A">
              <w:rPr>
                <w:rFonts w:ascii="Arial" w:hAnsi="Arial" w:cs="Arial"/>
              </w:rPr>
              <w:br w:type="page"/>
            </w:r>
            <w:r w:rsidR="00BE58D1">
              <w:rPr>
                <w:rFonts w:ascii="Arial" w:hAnsi="Arial" w:cs="Arial"/>
                <w:b/>
                <w:bCs/>
                <w:color w:val="008000"/>
                <w:sz w:val="52"/>
                <w:szCs w:val="52"/>
              </w:rPr>
              <w:t>V</w:t>
            </w:r>
          </w:p>
        </w:tc>
        <w:tc>
          <w:tcPr>
            <w:tcW w:w="3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2BCA" w:rsidRPr="003B584A" w:rsidRDefault="009D2BCA" w:rsidP="00EC1681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color w:val="008000"/>
                <w:sz w:val="28"/>
                <w:szCs w:val="28"/>
              </w:rPr>
            </w:pPr>
            <w:r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 xml:space="preserve">Der Weg des </w:t>
            </w:r>
            <w:r w:rsidR="00A70A95">
              <w:rPr>
                <w:rFonts w:ascii="Arial" w:hAnsi="Arial" w:cs="Arial"/>
                <w:b/>
                <w:color w:val="008000"/>
                <w:sz w:val="28"/>
                <w:szCs w:val="28"/>
              </w:rPr>
              <w:t>(</w:t>
            </w:r>
            <w:r w:rsidR="00A70A95"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>Mikro</w:t>
            </w:r>
            <w:r w:rsidR="00A70A95">
              <w:rPr>
                <w:rFonts w:ascii="Arial" w:hAnsi="Arial" w:cs="Arial"/>
                <w:b/>
                <w:color w:val="008000"/>
                <w:sz w:val="28"/>
                <w:szCs w:val="28"/>
              </w:rPr>
              <w:t>-)P</w:t>
            </w:r>
            <w:r w:rsidR="00A70A95"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>lastiks</w:t>
            </w:r>
          </w:p>
          <w:p w:rsidR="009D2BCA" w:rsidRPr="003B584A" w:rsidRDefault="009D2BCA" w:rsidP="009D2BCA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  <w:kern w:val="36"/>
              </w:rPr>
              <w:t>Plastik am Fluss- und Seeufer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2BCA" w:rsidRPr="003B584A" w:rsidRDefault="009D2BCA" w:rsidP="00EC1681">
            <w:pPr>
              <w:spacing w:before="120" w:after="100" w:afterAutospacing="1"/>
              <w:jc w:val="center"/>
              <w:rPr>
                <w:rFonts w:ascii="Arial" w:hAnsi="Arial" w:cs="Arial"/>
                <w:b/>
                <w:color w:val="008000"/>
                <w:sz w:val="52"/>
                <w:szCs w:val="52"/>
              </w:rPr>
            </w:pPr>
            <w:r w:rsidRPr="003B584A">
              <w:rPr>
                <w:rFonts w:ascii="Arial" w:hAnsi="Arial" w:cs="Arial"/>
                <w:b/>
                <w:color w:val="008000"/>
                <w:sz w:val="52"/>
                <w:szCs w:val="52"/>
              </w:rPr>
              <w:t>L</w:t>
            </w:r>
          </w:p>
        </w:tc>
      </w:tr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Zeitbedarf: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BCA" w:rsidRPr="003B584A" w:rsidRDefault="003A6EC4" w:rsidP="001B5EF3">
            <w:pPr>
              <w:spacing w:before="120" w:after="120" w:line="360" w:lineRule="auto"/>
              <w:ind w:left="2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Minuten</w:t>
            </w:r>
          </w:p>
        </w:tc>
      </w:tr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Ziele: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BCA" w:rsidRPr="003B584A" w:rsidRDefault="009D2BCA" w:rsidP="001B5EF3">
            <w:pPr>
              <w:spacing w:before="120" w:after="120" w:line="276" w:lineRule="auto"/>
              <w:ind w:left="285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</w:rPr>
              <w:t>SuS</w:t>
            </w:r>
            <w:r w:rsidR="0079194D">
              <w:rPr>
                <w:rFonts w:ascii="Arial" w:hAnsi="Arial" w:cs="Arial"/>
              </w:rPr>
              <w:t xml:space="preserve"> sollen</w:t>
            </w:r>
            <w:r w:rsidRPr="003B584A">
              <w:rPr>
                <w:rFonts w:ascii="Arial" w:hAnsi="Arial" w:cs="Arial"/>
              </w:rPr>
              <w:t xml:space="preserve"> </w:t>
            </w:r>
            <w:r w:rsidRPr="003B584A">
              <w:rPr>
                <w:rFonts w:ascii="Arial" w:hAnsi="Arial" w:cs="Arial"/>
                <w:color w:val="000000"/>
              </w:rPr>
              <w:t xml:space="preserve">erkennen, dass Plastikfragmente und Mikroplastik am </w:t>
            </w:r>
            <w:r w:rsidR="0079194D">
              <w:rPr>
                <w:rFonts w:ascii="Arial" w:hAnsi="Arial" w:cs="Arial"/>
                <w:color w:val="000000"/>
              </w:rPr>
              <w:t>Ufer</w:t>
            </w:r>
            <w:r w:rsidRPr="003B584A">
              <w:rPr>
                <w:rFonts w:ascii="Arial" w:hAnsi="Arial" w:cs="Arial"/>
                <w:color w:val="000000"/>
              </w:rPr>
              <w:t xml:space="preserve"> durch Wind weitergetragen und ins </w:t>
            </w:r>
            <w:r w:rsidR="0079194D">
              <w:rPr>
                <w:rFonts w:ascii="Arial" w:hAnsi="Arial" w:cs="Arial"/>
                <w:color w:val="000000"/>
              </w:rPr>
              <w:t>Gewässer</w:t>
            </w:r>
            <w:r w:rsidRPr="003B584A">
              <w:rPr>
                <w:rFonts w:ascii="Arial" w:hAnsi="Arial" w:cs="Arial"/>
                <w:color w:val="000000"/>
              </w:rPr>
              <w:t xml:space="preserve"> geweht werden.</w:t>
            </w:r>
          </w:p>
          <w:p w:rsidR="009D2BCA" w:rsidRDefault="009D2BCA" w:rsidP="0079194D">
            <w:pPr>
              <w:spacing w:before="120" w:after="120" w:line="276" w:lineRule="auto"/>
              <w:ind w:left="285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</w:rPr>
              <w:t xml:space="preserve">SuS </w:t>
            </w:r>
            <w:r w:rsidR="0079194D">
              <w:rPr>
                <w:rFonts w:ascii="Arial" w:hAnsi="Arial" w:cs="Arial"/>
              </w:rPr>
              <w:t xml:space="preserve">sollen </w:t>
            </w:r>
            <w:r w:rsidRPr="003B584A">
              <w:rPr>
                <w:rFonts w:ascii="Arial" w:hAnsi="Arial" w:cs="Arial"/>
              </w:rPr>
              <w:t xml:space="preserve">erkennen, dass Plastikfragmente und Mikroplastik durch </w:t>
            </w:r>
            <w:r w:rsidR="00C10841">
              <w:rPr>
                <w:rFonts w:ascii="Arial" w:hAnsi="Arial" w:cs="Arial"/>
              </w:rPr>
              <w:t>die Strömung</w:t>
            </w:r>
            <w:r w:rsidR="0079194D">
              <w:rPr>
                <w:rFonts w:ascii="Arial" w:hAnsi="Arial" w:cs="Arial"/>
              </w:rPr>
              <w:t xml:space="preserve"> </w:t>
            </w:r>
            <w:r w:rsidR="00C10841">
              <w:rPr>
                <w:rFonts w:ascii="Arial" w:hAnsi="Arial" w:cs="Arial"/>
              </w:rPr>
              <w:t>im Fluss</w:t>
            </w:r>
            <w:r w:rsidR="00D5744A">
              <w:rPr>
                <w:rFonts w:ascii="Arial" w:hAnsi="Arial" w:cs="Arial"/>
              </w:rPr>
              <w:t xml:space="preserve"> bewegt und</w:t>
            </w:r>
            <w:r w:rsidR="0079194D">
              <w:rPr>
                <w:rFonts w:ascii="Arial" w:hAnsi="Arial" w:cs="Arial"/>
              </w:rPr>
              <w:t xml:space="preserve"> flussabwärts getragen werden.</w:t>
            </w:r>
            <w:r w:rsidRPr="003B584A">
              <w:rPr>
                <w:rFonts w:ascii="Arial" w:hAnsi="Arial" w:cs="Arial"/>
                <w:color w:val="000000"/>
              </w:rPr>
              <w:t xml:space="preserve"> </w:t>
            </w:r>
          </w:p>
          <w:p w:rsidR="0079194D" w:rsidRPr="003B584A" w:rsidRDefault="0079194D" w:rsidP="0079194D">
            <w:pPr>
              <w:spacing w:before="120" w:after="120" w:line="276" w:lineRule="auto"/>
              <w:ind w:left="28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SuS sollen erkennen, dass auf Gewässer treibende Plastikfragmente und Mikroplastik durch Regen und Sand absinken können.</w:t>
            </w:r>
          </w:p>
        </w:tc>
      </w:tr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Material: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BCA" w:rsidRPr="003B584A" w:rsidRDefault="0055697E" w:rsidP="004D2211">
            <w:pPr>
              <w:pStyle w:val="FarbigeListe-Akzent11"/>
              <w:spacing w:before="120" w:after="120" w:line="276" w:lineRule="auto"/>
              <w:ind w:left="285" w:right="204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Diverse </w:t>
            </w:r>
            <w:r w:rsidR="009D2BCA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Plastikfragmente und Mikroplastikpartikel</w:t>
            </w:r>
            <w:r w:rsidR="002A68A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79194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große Plastikwanne, </w:t>
            </w:r>
            <w:r w:rsidR="001735C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kleine längliche Wanne, S</w:t>
            </w:r>
            <w:r w:rsidR="009D2BCA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and, Steine, Wasser, Teigschaber, Aquarienpumpe, Gießkanne mit Brauseaufsatz</w:t>
            </w:r>
            <w:r w:rsidR="00E079E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Schere</w:t>
            </w:r>
          </w:p>
        </w:tc>
      </w:tr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Vorbereitung: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BCA" w:rsidRPr="003B584A" w:rsidRDefault="00975F19" w:rsidP="00975F19">
            <w:pPr>
              <w:pStyle w:val="FarbigeListe-Akzent11"/>
              <w:spacing w:before="120" w:after="120" w:line="276" w:lineRule="auto"/>
              <w:ind w:left="285" w:right="204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Befülle </w:t>
            </w:r>
            <w:r w:rsidR="009D2BCA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die längliche Wanne (Größe ca. Hälfte der großen Plastikwanne) mit Wasser, stelle diese in die g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roße Plastikwanne und befülle </w:t>
            </w:r>
            <w:r w:rsidR="009D2BCA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iese mit Steinen. Verteile </w:t>
            </w:r>
            <w:r w:rsidR="009D2BCA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Plastikfragmente und Mikroplastikpartikel am Ufer und im Gewässer.</w:t>
            </w:r>
          </w:p>
        </w:tc>
      </w:tr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Durchführung: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D2BCA" w:rsidRDefault="00975F19" w:rsidP="005400EE">
            <w:pPr>
              <w:numPr>
                <w:ilvl w:val="0"/>
                <w:numId w:val="10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Nutze</w:t>
            </w:r>
            <w:r w:rsidR="00EE0B3B" w:rsidRPr="008E61B2">
              <w:rPr>
                <w:rFonts w:ascii="Arial" w:hAnsi="Arial" w:cs="Arial"/>
              </w:rPr>
              <w:t xml:space="preserve"> die Materialien, um den Einfluss von </w:t>
            </w:r>
            <w:r w:rsidR="00872BA1">
              <w:rPr>
                <w:rFonts w:ascii="Arial" w:hAnsi="Arial" w:cs="Arial"/>
              </w:rPr>
              <w:t>Wind, Regen</w:t>
            </w:r>
            <w:r w:rsidR="00DE7039">
              <w:rPr>
                <w:rFonts w:ascii="Arial" w:hAnsi="Arial" w:cs="Arial"/>
              </w:rPr>
              <w:t>, Stürmen</w:t>
            </w:r>
            <w:r w:rsidR="00872BA1">
              <w:rPr>
                <w:rFonts w:ascii="Arial" w:hAnsi="Arial" w:cs="Arial"/>
              </w:rPr>
              <w:t xml:space="preserve"> </w:t>
            </w:r>
            <w:r w:rsidR="009D2BCA" w:rsidRPr="008E61B2">
              <w:rPr>
                <w:rFonts w:ascii="Arial" w:hAnsi="Arial" w:cs="Arial"/>
              </w:rPr>
              <w:t>und Strömung auf die Verbreitung von Plastikfragmenten und Mikroplastik am Fluss- und Seeufer nach</w:t>
            </w:r>
            <w:r w:rsidR="0067783A">
              <w:rPr>
                <w:rFonts w:ascii="Arial" w:hAnsi="Arial" w:cs="Arial"/>
              </w:rPr>
              <w:t>zu</w:t>
            </w:r>
            <w:r w:rsidR="009D2BCA" w:rsidRPr="008E61B2">
              <w:rPr>
                <w:rFonts w:ascii="Arial" w:hAnsi="Arial" w:cs="Arial"/>
              </w:rPr>
              <w:t>bilden.</w:t>
            </w:r>
          </w:p>
          <w:p w:rsidR="00165778" w:rsidRPr="00165778" w:rsidRDefault="00165778" w:rsidP="00165778">
            <w:pPr>
              <w:numPr>
                <w:ilvl w:val="0"/>
                <w:numId w:val="10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Tipp: Wind kann durch Pusten über die Steine nachgestellt werden.</w:t>
            </w:r>
          </w:p>
          <w:p w:rsidR="009D2BCA" w:rsidRPr="003B584A" w:rsidRDefault="00975F19" w:rsidP="00975F19">
            <w:pPr>
              <w:numPr>
                <w:ilvl w:val="0"/>
                <w:numId w:val="10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Skizzieren den</w:t>
            </w:r>
            <w:r w:rsidR="009D2BCA" w:rsidRPr="003B584A">
              <w:rPr>
                <w:rFonts w:ascii="Arial" w:hAnsi="Arial" w:cs="Arial"/>
              </w:rPr>
              <w:t xml:space="preserve"> Versuchsaufbau.</w:t>
            </w:r>
          </w:p>
        </w:tc>
      </w:tr>
      <w:tr w:rsidR="00B3229B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B3229B" w:rsidRPr="003B584A" w:rsidRDefault="00B3229B" w:rsidP="00EC1681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Versuchsauf</w:t>
            </w:r>
            <w:r w:rsidR="00EE0B3B">
              <w:rPr>
                <w:rFonts w:ascii="Arial" w:hAnsi="Arial" w:cs="Arial"/>
                <w:b/>
                <w:bCs/>
                <w:color w:val="000000"/>
              </w:rPr>
              <w:t>bau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3229B" w:rsidRPr="003B584A" w:rsidRDefault="00BD138E" w:rsidP="00BD138E">
            <w:pPr>
              <w:spacing w:before="120" w:after="0" w:line="276" w:lineRule="auto"/>
              <w:ind w:left="588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07390" behindDoc="0" locked="0" layoutInCell="1" allowOverlap="1" wp14:anchorId="511A2943" wp14:editId="55DF88DF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1270</wp:posOffset>
                  </wp:positionV>
                  <wp:extent cx="4042410" cy="1957705"/>
                  <wp:effectExtent l="0" t="0" r="0" b="4445"/>
                  <wp:wrapTight wrapText="bothSides">
                    <wp:wrapPolygon edited="0">
                      <wp:start x="0" y="0"/>
                      <wp:lineTo x="0" y="21439"/>
                      <wp:lineTo x="21478" y="21439"/>
                      <wp:lineTo x="21478" y="0"/>
                      <wp:lineTo x="0" y="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2410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Beobachtung: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D2BCA" w:rsidRPr="00AD3549" w:rsidRDefault="009D2BCA" w:rsidP="005400EE">
            <w:pPr>
              <w:numPr>
                <w:ilvl w:val="0"/>
                <w:numId w:val="10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 w:rsidRPr="00AD3549">
              <w:rPr>
                <w:rFonts w:ascii="Arial" w:hAnsi="Arial" w:cs="Arial"/>
              </w:rPr>
              <w:t xml:space="preserve">Plastikfragmente und Mikroplastikpartikel ändern durch den Luftstoß ihre Position. Sie bewegen sich entlang des Ufers und vom Ufer in den Fluss bzw. in den See. </w:t>
            </w:r>
          </w:p>
          <w:p w:rsidR="009D2BCA" w:rsidRPr="00AD3549" w:rsidRDefault="009D2BCA" w:rsidP="005400EE">
            <w:pPr>
              <w:numPr>
                <w:ilvl w:val="0"/>
                <w:numId w:val="10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 w:rsidRPr="00AD3549">
              <w:rPr>
                <w:rFonts w:ascii="Arial" w:hAnsi="Arial" w:cs="Arial"/>
              </w:rPr>
              <w:t xml:space="preserve">Die </w:t>
            </w:r>
            <w:r w:rsidR="00803077" w:rsidRPr="00AD3549">
              <w:rPr>
                <w:rFonts w:ascii="Arial" w:hAnsi="Arial" w:cs="Arial"/>
              </w:rPr>
              <w:t xml:space="preserve">Strömung im Fluss bewegt eingetragene Plastikfragmente und Mikroplastikpartikel flussabwärts. Im See treiben treibt das Plastik an der Oberfläche oder sinkt ab. </w:t>
            </w:r>
          </w:p>
          <w:p w:rsidR="00803077" w:rsidRPr="00AD3549" w:rsidRDefault="00803077" w:rsidP="005400EE">
            <w:pPr>
              <w:numPr>
                <w:ilvl w:val="0"/>
                <w:numId w:val="10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 w:rsidRPr="00AD3549">
              <w:rPr>
                <w:rFonts w:ascii="Arial" w:hAnsi="Arial" w:cs="Arial"/>
              </w:rPr>
              <w:lastRenderedPageBreak/>
              <w:t>Durch Regen kann Plastik vom Ufer in Gewässe</w:t>
            </w:r>
            <w:r w:rsidR="005B266A">
              <w:rPr>
                <w:rFonts w:ascii="Arial" w:hAnsi="Arial" w:cs="Arial"/>
              </w:rPr>
              <w:t xml:space="preserve">r gespült werden. </w:t>
            </w:r>
            <w:r w:rsidRPr="00AD3549">
              <w:rPr>
                <w:rFonts w:ascii="Arial" w:hAnsi="Arial" w:cs="Arial"/>
              </w:rPr>
              <w:t xml:space="preserve">Plastikfragmente können durch Regen und Sandauflagerungen </w:t>
            </w:r>
            <w:r w:rsidR="00371999">
              <w:rPr>
                <w:rFonts w:ascii="Arial" w:hAnsi="Arial" w:cs="Arial"/>
              </w:rPr>
              <w:t xml:space="preserve">(Sturm) </w:t>
            </w:r>
            <w:r w:rsidRPr="00AD3549">
              <w:rPr>
                <w:rFonts w:ascii="Arial" w:hAnsi="Arial" w:cs="Arial"/>
              </w:rPr>
              <w:t>auf den Grund des Gewässers sinken.</w:t>
            </w:r>
          </w:p>
        </w:tc>
      </w:tr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lastRenderedPageBreak/>
              <w:t>Deutung: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BCA" w:rsidRPr="00AD3549" w:rsidRDefault="009D2BCA" w:rsidP="00872BA1">
            <w:pPr>
              <w:spacing w:before="120" w:after="0" w:line="276" w:lineRule="auto"/>
              <w:ind w:left="284"/>
              <w:rPr>
                <w:rFonts w:ascii="Arial" w:hAnsi="Arial" w:cs="Arial"/>
              </w:rPr>
            </w:pPr>
            <w:r w:rsidRPr="00AD3549">
              <w:rPr>
                <w:rFonts w:ascii="Arial" w:hAnsi="Arial" w:cs="Arial"/>
              </w:rPr>
              <w:t>Wind</w:t>
            </w:r>
            <w:r w:rsidR="00803077" w:rsidRPr="00AD3549">
              <w:rPr>
                <w:rFonts w:ascii="Arial" w:hAnsi="Arial" w:cs="Arial"/>
              </w:rPr>
              <w:t>, Regen</w:t>
            </w:r>
            <w:r w:rsidR="00D15AB2">
              <w:rPr>
                <w:rFonts w:ascii="Arial" w:hAnsi="Arial" w:cs="Arial"/>
              </w:rPr>
              <w:t>, Stürme</w:t>
            </w:r>
            <w:r w:rsidR="00803077" w:rsidRPr="00AD3549">
              <w:rPr>
                <w:rFonts w:ascii="Arial" w:hAnsi="Arial" w:cs="Arial"/>
              </w:rPr>
              <w:t xml:space="preserve"> und Strömung s</w:t>
            </w:r>
            <w:r w:rsidRPr="00AD3549">
              <w:rPr>
                <w:rFonts w:ascii="Arial" w:hAnsi="Arial" w:cs="Arial"/>
              </w:rPr>
              <w:t>orgen für den Transport von Plastikfragmenten und Mikroplastikpartikeln.</w:t>
            </w:r>
          </w:p>
        </w:tc>
      </w:tr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Entsorgung: 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BCA" w:rsidRPr="00AD3549" w:rsidRDefault="00E428DD" w:rsidP="00E428DD">
            <w:pPr>
              <w:spacing w:before="120"/>
              <w:ind w:left="285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Große Fragmente können aus dem Wasser/den Steinen entfernt und im Hausmüll entsorgt werden. Sollte kleines Mikroplastik im Wasser verbleiben, muss dieses mit einem Faltenfilter filtriert werden. </w:t>
            </w:r>
            <w:r w:rsidRPr="00A33374">
              <w:rPr>
                <w:rFonts w:ascii="Arial" w:hAnsi="Arial" w:cs="Arial"/>
              </w:rPr>
              <w:t>Das saubere Filtrat kann dann in den Ausguss gegeben, der Faltenfilter im Hausmüll entsorgt werden.</w:t>
            </w:r>
          </w:p>
        </w:tc>
      </w:tr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Fachlicher Hintergrund: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7ED7" w:rsidRPr="00AD3549" w:rsidRDefault="00E46487" w:rsidP="005400EE">
            <w:pPr>
              <w:pStyle w:val="StandardWeb"/>
              <w:numPr>
                <w:ilvl w:val="0"/>
                <w:numId w:val="12"/>
              </w:numPr>
              <w:ind w:left="568" w:hanging="283"/>
              <w:rPr>
                <w:rFonts w:ascii="Arial" w:hAnsi="Arial" w:cs="Arial"/>
                <w:sz w:val="22"/>
                <w:szCs w:val="22"/>
              </w:rPr>
            </w:pPr>
            <w:r w:rsidRPr="00AD35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Schätzungsweise</w:t>
            </w:r>
            <w:r w:rsidR="00AC7ED7" w:rsidRPr="00AD35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80 % des Plastik</w:t>
            </w:r>
            <w:r w:rsidRPr="00AD35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mülls wird langseitig ins Meer getragen.</w:t>
            </w:r>
            <w:r w:rsidR="00AC7ED7" w:rsidRPr="00AD35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Der Wind</w:t>
            </w:r>
            <w:r w:rsidRPr="00AD35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und (Stark-)Regen</w:t>
            </w:r>
            <w:r w:rsidR="00AC7ED7" w:rsidRPr="00AD35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AD35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sorgen für den ungewollten Eintrag des Plastiks in Flüsse und Seen.</w:t>
            </w:r>
            <w:r w:rsidR="00A96A96" w:rsidRPr="00AD35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Aufgrund des geringen Gewichts kann Plastikmüll leicht i</w:t>
            </w:r>
            <w:r w:rsidR="00AC7ED7" w:rsidRPr="008E6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 die Gewässer geweht</w:t>
            </w:r>
            <w:r w:rsidR="00A96A96" w:rsidRPr="008E6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oder gespült werden</w:t>
            </w:r>
            <w:r w:rsidR="00AC7ED7" w:rsidRPr="00AD354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D2BCA" w:rsidRPr="00BF5EC0" w:rsidRDefault="00BF5EC0" w:rsidP="00BF5EC0">
            <w:pPr>
              <w:pStyle w:val="StandardWeb"/>
              <w:ind w:left="285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Quelle:</w:t>
            </w:r>
            <w:r>
              <w:rPr>
                <w:rFonts w:ascii="Arial" w:hAnsi="Arial" w:cs="Arial"/>
                <w:sz w:val="18"/>
                <w:szCs w:val="22"/>
              </w:rPr>
              <w:br/>
              <w:t xml:space="preserve">URL: </w:t>
            </w:r>
            <w:hyperlink r:id="rId9" w:history="1">
              <w:r w:rsidRPr="00E23B08">
                <w:rPr>
                  <w:rStyle w:val="Hyperlink"/>
                  <w:rFonts w:ascii="Arial" w:hAnsi="Arial" w:cs="Arial"/>
                  <w:color w:val="auto"/>
                  <w:sz w:val="18"/>
                  <w:szCs w:val="22"/>
                </w:rPr>
                <w:t>https://themenspezial.eskp.de/plastik-in-gewaessern/handlungsoptionen/mikroplastik-in-abwaessern/</w:t>
              </w:r>
            </w:hyperlink>
            <w:r w:rsidRPr="00E23B08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="00AC1A7E">
              <w:rPr>
                <w:rFonts w:ascii="Arial" w:hAnsi="Arial" w:cs="Arial"/>
                <w:sz w:val="18"/>
                <w:szCs w:val="22"/>
              </w:rPr>
              <w:t>online 16.05.2021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22"/>
              </w:rPr>
              <w:t>)</w:t>
            </w:r>
          </w:p>
        </w:tc>
      </w:tr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Didaktische Wertung: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B2" w:rsidRPr="008E61B2" w:rsidRDefault="008C3FB2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Geringer Zeitaufwand</w:t>
            </w:r>
          </w:p>
          <w:p w:rsidR="008C3FB2" w:rsidRPr="008E61B2" w:rsidRDefault="008C3FB2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Einfache Durchführung</w:t>
            </w:r>
          </w:p>
          <w:p w:rsidR="00EE0B3B" w:rsidRPr="008E61B2" w:rsidRDefault="008C3FB2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Anschauliches Ergebnis</w:t>
            </w:r>
          </w:p>
          <w:p w:rsidR="008C3FB2" w:rsidRPr="008E61B2" w:rsidRDefault="00EE0B3B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 xml:space="preserve">Keine </w:t>
            </w:r>
            <w:r w:rsidR="008C3FB2" w:rsidRPr="008E61B2">
              <w:rPr>
                <w:rFonts w:ascii="Arial" w:hAnsi="Arial" w:cs="Arial"/>
              </w:rPr>
              <w:t>Fehlerquellen</w:t>
            </w:r>
          </w:p>
          <w:p w:rsidR="008C3FB2" w:rsidRPr="008E61B2" w:rsidRDefault="008C3FB2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Keine giftigen Chemikalien</w:t>
            </w:r>
          </w:p>
          <w:p w:rsidR="008C3FB2" w:rsidRPr="008E61B2" w:rsidRDefault="008C3FB2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Keine besondere Entsorgung nötig</w:t>
            </w:r>
          </w:p>
          <w:p w:rsidR="009D2BCA" w:rsidRPr="003B584A" w:rsidRDefault="00EE0B3B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  <w:color w:val="000000"/>
              </w:rPr>
            </w:pPr>
            <w:r w:rsidRPr="008E61B2">
              <w:rPr>
                <w:rFonts w:ascii="Arial" w:hAnsi="Arial" w:cs="Arial"/>
              </w:rPr>
              <w:t>Kunststofffragmente</w:t>
            </w:r>
            <w:r>
              <w:rPr>
                <w:rFonts w:ascii="Arial" w:hAnsi="Arial" w:cs="Arial"/>
                <w:color w:val="000000"/>
              </w:rPr>
              <w:t xml:space="preserve"> können von zuhause mitgebracht werden</w:t>
            </w:r>
          </w:p>
        </w:tc>
      </w:tr>
    </w:tbl>
    <w:p w:rsidR="00B3229B" w:rsidRPr="003B584A" w:rsidRDefault="00B3229B">
      <w:pPr>
        <w:rPr>
          <w:rFonts w:ascii="Arial" w:hAnsi="Arial" w:cs="Arial"/>
        </w:rPr>
      </w:pPr>
    </w:p>
    <w:sectPr w:rsidR="00B3229B" w:rsidRPr="003B584A" w:rsidSect="00A25D7E"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59" w:rsidRDefault="00C56759" w:rsidP="008575B6">
      <w:pPr>
        <w:spacing w:after="0" w:line="240" w:lineRule="auto"/>
      </w:pPr>
      <w:r>
        <w:separator/>
      </w:r>
    </w:p>
  </w:endnote>
  <w:endnote w:type="continuationSeparator" w:id="0">
    <w:p w:rsidR="00C56759" w:rsidRDefault="00C56759" w:rsidP="0085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59" w:rsidRDefault="00C56759" w:rsidP="008575B6">
      <w:pPr>
        <w:spacing w:after="0" w:line="240" w:lineRule="auto"/>
      </w:pPr>
      <w:r>
        <w:separator/>
      </w:r>
    </w:p>
  </w:footnote>
  <w:footnote w:type="continuationSeparator" w:id="0">
    <w:p w:rsidR="00C56759" w:rsidRDefault="00C56759" w:rsidP="00857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E73"/>
    <w:multiLevelType w:val="hybridMultilevel"/>
    <w:tmpl w:val="0136BE9C"/>
    <w:lvl w:ilvl="0" w:tplc="0407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E231478"/>
    <w:multiLevelType w:val="hybridMultilevel"/>
    <w:tmpl w:val="D0669950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1326FB6"/>
    <w:multiLevelType w:val="hybridMultilevel"/>
    <w:tmpl w:val="075EF490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285B67E2"/>
    <w:multiLevelType w:val="hybridMultilevel"/>
    <w:tmpl w:val="12CA4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915E3"/>
    <w:multiLevelType w:val="hybridMultilevel"/>
    <w:tmpl w:val="683C3FDE"/>
    <w:lvl w:ilvl="0" w:tplc="0407000B">
      <w:start w:val="1"/>
      <w:numFmt w:val="bullet"/>
      <w:lvlText w:val=""/>
      <w:lvlJc w:val="left"/>
      <w:pPr>
        <w:ind w:left="91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3AFF158C"/>
    <w:multiLevelType w:val="hybridMultilevel"/>
    <w:tmpl w:val="8FF88268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FBD05DA"/>
    <w:multiLevelType w:val="hybridMultilevel"/>
    <w:tmpl w:val="7B58670E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CF3424F"/>
    <w:multiLevelType w:val="hybridMultilevel"/>
    <w:tmpl w:val="2632D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D43F7"/>
    <w:multiLevelType w:val="hybridMultilevel"/>
    <w:tmpl w:val="33663AE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DE0D23"/>
    <w:multiLevelType w:val="hybridMultilevel"/>
    <w:tmpl w:val="56DA515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B96330"/>
    <w:multiLevelType w:val="hybridMultilevel"/>
    <w:tmpl w:val="DDC2F8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3B4A"/>
    <w:multiLevelType w:val="hybridMultilevel"/>
    <w:tmpl w:val="C87A6CB6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2" w15:restartNumberingAfterBreak="0">
    <w:nsid w:val="58283019"/>
    <w:multiLevelType w:val="hybridMultilevel"/>
    <w:tmpl w:val="BF4C7CC6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6A29C3"/>
    <w:multiLevelType w:val="hybridMultilevel"/>
    <w:tmpl w:val="C7F21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3A23"/>
    <w:multiLevelType w:val="hybridMultilevel"/>
    <w:tmpl w:val="28083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F2F55"/>
    <w:multiLevelType w:val="hybridMultilevel"/>
    <w:tmpl w:val="F1EEBB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45166"/>
    <w:multiLevelType w:val="hybridMultilevel"/>
    <w:tmpl w:val="D578F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50FC8"/>
    <w:multiLevelType w:val="hybridMultilevel"/>
    <w:tmpl w:val="5A2EEA3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3B67C4"/>
    <w:multiLevelType w:val="hybridMultilevel"/>
    <w:tmpl w:val="21C04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3"/>
  </w:num>
  <w:num w:numId="5">
    <w:abstractNumId w:val="18"/>
  </w:num>
  <w:num w:numId="6">
    <w:abstractNumId w:val="16"/>
  </w:num>
  <w:num w:numId="7">
    <w:abstractNumId w:val="15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  <w:num w:numId="15">
    <w:abstractNumId w:val="4"/>
  </w:num>
  <w:num w:numId="16">
    <w:abstractNumId w:val="9"/>
  </w:num>
  <w:num w:numId="17">
    <w:abstractNumId w:val="12"/>
  </w:num>
  <w:num w:numId="18">
    <w:abstractNumId w:val="8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MDc0NjA2Mjc3NjBU0lEKTi0uzszPAykwMqwFABIt/uctAAAA"/>
  </w:docVars>
  <w:rsids>
    <w:rsidRoot w:val="009E1ECE"/>
    <w:rsid w:val="00001011"/>
    <w:rsid w:val="00003EF5"/>
    <w:rsid w:val="00004C96"/>
    <w:rsid w:val="00006B4F"/>
    <w:rsid w:val="0000763C"/>
    <w:rsid w:val="00010161"/>
    <w:rsid w:val="00010360"/>
    <w:rsid w:val="000151C7"/>
    <w:rsid w:val="000157D9"/>
    <w:rsid w:val="000236BA"/>
    <w:rsid w:val="00025678"/>
    <w:rsid w:val="00030F76"/>
    <w:rsid w:val="00031383"/>
    <w:rsid w:val="00055A86"/>
    <w:rsid w:val="00056076"/>
    <w:rsid w:val="00057A48"/>
    <w:rsid w:val="0006068C"/>
    <w:rsid w:val="00065700"/>
    <w:rsid w:val="00071AE5"/>
    <w:rsid w:val="00076337"/>
    <w:rsid w:val="00077545"/>
    <w:rsid w:val="000833E9"/>
    <w:rsid w:val="000938A8"/>
    <w:rsid w:val="000A2011"/>
    <w:rsid w:val="000A3187"/>
    <w:rsid w:val="000A545C"/>
    <w:rsid w:val="000A671F"/>
    <w:rsid w:val="000B12E6"/>
    <w:rsid w:val="000B320B"/>
    <w:rsid w:val="000C4C21"/>
    <w:rsid w:val="000D1275"/>
    <w:rsid w:val="000D5B21"/>
    <w:rsid w:val="000E0D3F"/>
    <w:rsid w:val="000E5D82"/>
    <w:rsid w:val="000F1B86"/>
    <w:rsid w:val="00101F59"/>
    <w:rsid w:val="00103C24"/>
    <w:rsid w:val="00112199"/>
    <w:rsid w:val="00112C84"/>
    <w:rsid w:val="00120BF3"/>
    <w:rsid w:val="001228E3"/>
    <w:rsid w:val="00123536"/>
    <w:rsid w:val="00140C18"/>
    <w:rsid w:val="00152BEC"/>
    <w:rsid w:val="001624E2"/>
    <w:rsid w:val="00165778"/>
    <w:rsid w:val="00165FC3"/>
    <w:rsid w:val="00166246"/>
    <w:rsid w:val="0017101F"/>
    <w:rsid w:val="001735CA"/>
    <w:rsid w:val="00174DEB"/>
    <w:rsid w:val="001858DB"/>
    <w:rsid w:val="001863B3"/>
    <w:rsid w:val="001921BA"/>
    <w:rsid w:val="0019669B"/>
    <w:rsid w:val="001A0020"/>
    <w:rsid w:val="001A04F8"/>
    <w:rsid w:val="001A2033"/>
    <w:rsid w:val="001A2372"/>
    <w:rsid w:val="001A4E57"/>
    <w:rsid w:val="001B2759"/>
    <w:rsid w:val="001B5CAA"/>
    <w:rsid w:val="001B5EF3"/>
    <w:rsid w:val="001D3423"/>
    <w:rsid w:val="001D48DF"/>
    <w:rsid w:val="001D4F54"/>
    <w:rsid w:val="001E492C"/>
    <w:rsid w:val="001F070D"/>
    <w:rsid w:val="001F0BC7"/>
    <w:rsid w:val="001F4383"/>
    <w:rsid w:val="001F5406"/>
    <w:rsid w:val="001F56EB"/>
    <w:rsid w:val="00215336"/>
    <w:rsid w:val="0021787B"/>
    <w:rsid w:val="002246F8"/>
    <w:rsid w:val="00232244"/>
    <w:rsid w:val="00232BD0"/>
    <w:rsid w:val="0023371B"/>
    <w:rsid w:val="00243252"/>
    <w:rsid w:val="002438C9"/>
    <w:rsid w:val="00247E04"/>
    <w:rsid w:val="002507E5"/>
    <w:rsid w:val="0027264B"/>
    <w:rsid w:val="00290700"/>
    <w:rsid w:val="00291988"/>
    <w:rsid w:val="00291DA8"/>
    <w:rsid w:val="002A1156"/>
    <w:rsid w:val="002A2504"/>
    <w:rsid w:val="002A603D"/>
    <w:rsid w:val="002A68A4"/>
    <w:rsid w:val="002B3CD9"/>
    <w:rsid w:val="002C661F"/>
    <w:rsid w:val="002C6772"/>
    <w:rsid w:val="002D540C"/>
    <w:rsid w:val="002D5BD7"/>
    <w:rsid w:val="002E00CF"/>
    <w:rsid w:val="002E5581"/>
    <w:rsid w:val="002F3DD8"/>
    <w:rsid w:val="003028A1"/>
    <w:rsid w:val="0030328F"/>
    <w:rsid w:val="003171C2"/>
    <w:rsid w:val="00321FA1"/>
    <w:rsid w:val="00322F55"/>
    <w:rsid w:val="00327CBE"/>
    <w:rsid w:val="00333992"/>
    <w:rsid w:val="00342B1E"/>
    <w:rsid w:val="0034303C"/>
    <w:rsid w:val="00347A09"/>
    <w:rsid w:val="003558CD"/>
    <w:rsid w:val="00357B94"/>
    <w:rsid w:val="00357D56"/>
    <w:rsid w:val="00364032"/>
    <w:rsid w:val="00365B8C"/>
    <w:rsid w:val="00371999"/>
    <w:rsid w:val="003724C7"/>
    <w:rsid w:val="003826E3"/>
    <w:rsid w:val="003973B0"/>
    <w:rsid w:val="003A6EC4"/>
    <w:rsid w:val="003B1D66"/>
    <w:rsid w:val="003B584A"/>
    <w:rsid w:val="003B6F76"/>
    <w:rsid w:val="003D2C64"/>
    <w:rsid w:val="003D3BC8"/>
    <w:rsid w:val="003D3FB9"/>
    <w:rsid w:val="003E657B"/>
    <w:rsid w:val="00403F45"/>
    <w:rsid w:val="004079F4"/>
    <w:rsid w:val="00413898"/>
    <w:rsid w:val="00415297"/>
    <w:rsid w:val="00416CA9"/>
    <w:rsid w:val="004206A5"/>
    <w:rsid w:val="004242A6"/>
    <w:rsid w:val="004335AB"/>
    <w:rsid w:val="00441AAF"/>
    <w:rsid w:val="00442593"/>
    <w:rsid w:val="00442A55"/>
    <w:rsid w:val="004454BE"/>
    <w:rsid w:val="004476C6"/>
    <w:rsid w:val="00452EF6"/>
    <w:rsid w:val="00463A0F"/>
    <w:rsid w:val="00464AFC"/>
    <w:rsid w:val="004654A1"/>
    <w:rsid w:val="004654E4"/>
    <w:rsid w:val="00467800"/>
    <w:rsid w:val="00474B0F"/>
    <w:rsid w:val="00476A03"/>
    <w:rsid w:val="00480EB6"/>
    <w:rsid w:val="00481D41"/>
    <w:rsid w:val="00484E0D"/>
    <w:rsid w:val="00491906"/>
    <w:rsid w:val="00497639"/>
    <w:rsid w:val="004A0753"/>
    <w:rsid w:val="004A2C91"/>
    <w:rsid w:val="004A75FB"/>
    <w:rsid w:val="004A7EF5"/>
    <w:rsid w:val="004B458D"/>
    <w:rsid w:val="004C1B08"/>
    <w:rsid w:val="004D2211"/>
    <w:rsid w:val="004E0E54"/>
    <w:rsid w:val="004E1463"/>
    <w:rsid w:val="004E7C2E"/>
    <w:rsid w:val="004F1361"/>
    <w:rsid w:val="004F4CB9"/>
    <w:rsid w:val="005058EF"/>
    <w:rsid w:val="00510704"/>
    <w:rsid w:val="00517BD3"/>
    <w:rsid w:val="00517DA1"/>
    <w:rsid w:val="0052241F"/>
    <w:rsid w:val="00525E10"/>
    <w:rsid w:val="00526067"/>
    <w:rsid w:val="005303DB"/>
    <w:rsid w:val="00535145"/>
    <w:rsid w:val="005400EE"/>
    <w:rsid w:val="00540B6D"/>
    <w:rsid w:val="00546EC0"/>
    <w:rsid w:val="0055697E"/>
    <w:rsid w:val="00561573"/>
    <w:rsid w:val="00562106"/>
    <w:rsid w:val="005652D7"/>
    <w:rsid w:val="005665DB"/>
    <w:rsid w:val="005713FA"/>
    <w:rsid w:val="00574047"/>
    <w:rsid w:val="00574DE4"/>
    <w:rsid w:val="005812EC"/>
    <w:rsid w:val="00586E61"/>
    <w:rsid w:val="00591EB1"/>
    <w:rsid w:val="005921D2"/>
    <w:rsid w:val="00594739"/>
    <w:rsid w:val="00596D4B"/>
    <w:rsid w:val="005B266A"/>
    <w:rsid w:val="005B58E0"/>
    <w:rsid w:val="005C3A49"/>
    <w:rsid w:val="005D71B7"/>
    <w:rsid w:val="005E2BBE"/>
    <w:rsid w:val="005E4219"/>
    <w:rsid w:val="005F27DC"/>
    <w:rsid w:val="0060272C"/>
    <w:rsid w:val="0060582B"/>
    <w:rsid w:val="0061552D"/>
    <w:rsid w:val="00651DEA"/>
    <w:rsid w:val="0065451F"/>
    <w:rsid w:val="0065793E"/>
    <w:rsid w:val="00660394"/>
    <w:rsid w:val="00661638"/>
    <w:rsid w:val="00662348"/>
    <w:rsid w:val="00667F05"/>
    <w:rsid w:val="00673A50"/>
    <w:rsid w:val="0067783A"/>
    <w:rsid w:val="00677B29"/>
    <w:rsid w:val="00683EBB"/>
    <w:rsid w:val="006843CB"/>
    <w:rsid w:val="00685E7B"/>
    <w:rsid w:val="00691098"/>
    <w:rsid w:val="00694ED2"/>
    <w:rsid w:val="006962AD"/>
    <w:rsid w:val="006A0D74"/>
    <w:rsid w:val="006C1A79"/>
    <w:rsid w:val="006C3EF5"/>
    <w:rsid w:val="006C645E"/>
    <w:rsid w:val="006D092B"/>
    <w:rsid w:val="006D4BC8"/>
    <w:rsid w:val="006D5001"/>
    <w:rsid w:val="006E7C91"/>
    <w:rsid w:val="006F19B1"/>
    <w:rsid w:val="006F3C76"/>
    <w:rsid w:val="006F4897"/>
    <w:rsid w:val="00702191"/>
    <w:rsid w:val="00703193"/>
    <w:rsid w:val="007071C4"/>
    <w:rsid w:val="00713C1E"/>
    <w:rsid w:val="00716D1B"/>
    <w:rsid w:val="00720248"/>
    <w:rsid w:val="00736AA7"/>
    <w:rsid w:val="00736C60"/>
    <w:rsid w:val="00740564"/>
    <w:rsid w:val="00743D5C"/>
    <w:rsid w:val="00746081"/>
    <w:rsid w:val="00746539"/>
    <w:rsid w:val="00750887"/>
    <w:rsid w:val="00761F77"/>
    <w:rsid w:val="00767454"/>
    <w:rsid w:val="007729E8"/>
    <w:rsid w:val="00772B6A"/>
    <w:rsid w:val="007759C9"/>
    <w:rsid w:val="00782781"/>
    <w:rsid w:val="0079194D"/>
    <w:rsid w:val="0079318D"/>
    <w:rsid w:val="00793BE0"/>
    <w:rsid w:val="0079704A"/>
    <w:rsid w:val="007A698D"/>
    <w:rsid w:val="007B0F26"/>
    <w:rsid w:val="007C0E35"/>
    <w:rsid w:val="007C26E9"/>
    <w:rsid w:val="007D446E"/>
    <w:rsid w:val="007E1633"/>
    <w:rsid w:val="007E5C76"/>
    <w:rsid w:val="007F42B3"/>
    <w:rsid w:val="007F5E09"/>
    <w:rsid w:val="00803077"/>
    <w:rsid w:val="00803749"/>
    <w:rsid w:val="00805124"/>
    <w:rsid w:val="0080652A"/>
    <w:rsid w:val="008125C2"/>
    <w:rsid w:val="00814479"/>
    <w:rsid w:val="00815125"/>
    <w:rsid w:val="00816F18"/>
    <w:rsid w:val="00826C5C"/>
    <w:rsid w:val="00827E4E"/>
    <w:rsid w:val="00830D21"/>
    <w:rsid w:val="008374E0"/>
    <w:rsid w:val="00841581"/>
    <w:rsid w:val="00847147"/>
    <w:rsid w:val="00847F19"/>
    <w:rsid w:val="00851F07"/>
    <w:rsid w:val="008535E6"/>
    <w:rsid w:val="00853CCF"/>
    <w:rsid w:val="008575B6"/>
    <w:rsid w:val="00861DA0"/>
    <w:rsid w:val="008623F9"/>
    <w:rsid w:val="00867FA4"/>
    <w:rsid w:val="00872BA1"/>
    <w:rsid w:val="008754A2"/>
    <w:rsid w:val="00876EC2"/>
    <w:rsid w:val="00880398"/>
    <w:rsid w:val="00880440"/>
    <w:rsid w:val="00882621"/>
    <w:rsid w:val="008865C9"/>
    <w:rsid w:val="00890AD8"/>
    <w:rsid w:val="00892296"/>
    <w:rsid w:val="00894EF5"/>
    <w:rsid w:val="008A047D"/>
    <w:rsid w:val="008A1783"/>
    <w:rsid w:val="008A25FA"/>
    <w:rsid w:val="008B2416"/>
    <w:rsid w:val="008B38D7"/>
    <w:rsid w:val="008B6280"/>
    <w:rsid w:val="008C3FB2"/>
    <w:rsid w:val="008C6A78"/>
    <w:rsid w:val="008D1CD5"/>
    <w:rsid w:val="008D6019"/>
    <w:rsid w:val="008E12E7"/>
    <w:rsid w:val="008E61B2"/>
    <w:rsid w:val="00904D51"/>
    <w:rsid w:val="00905D99"/>
    <w:rsid w:val="009115E2"/>
    <w:rsid w:val="00916EBB"/>
    <w:rsid w:val="009222F6"/>
    <w:rsid w:val="009324B5"/>
    <w:rsid w:val="0093457E"/>
    <w:rsid w:val="009403C3"/>
    <w:rsid w:val="009472FF"/>
    <w:rsid w:val="009546F3"/>
    <w:rsid w:val="00960B8F"/>
    <w:rsid w:val="00965ABA"/>
    <w:rsid w:val="00970F92"/>
    <w:rsid w:val="00975F19"/>
    <w:rsid w:val="00976CF3"/>
    <w:rsid w:val="0098640E"/>
    <w:rsid w:val="0098699A"/>
    <w:rsid w:val="009954E4"/>
    <w:rsid w:val="00996CB1"/>
    <w:rsid w:val="0099788A"/>
    <w:rsid w:val="009A0E92"/>
    <w:rsid w:val="009A292F"/>
    <w:rsid w:val="009B1D18"/>
    <w:rsid w:val="009B293A"/>
    <w:rsid w:val="009B5E66"/>
    <w:rsid w:val="009B73E1"/>
    <w:rsid w:val="009C1917"/>
    <w:rsid w:val="009C5990"/>
    <w:rsid w:val="009D2BCA"/>
    <w:rsid w:val="009D3945"/>
    <w:rsid w:val="009E0010"/>
    <w:rsid w:val="009E1ECE"/>
    <w:rsid w:val="009F33DE"/>
    <w:rsid w:val="009F76A3"/>
    <w:rsid w:val="00A037A9"/>
    <w:rsid w:val="00A11E89"/>
    <w:rsid w:val="00A24D51"/>
    <w:rsid w:val="00A25D7E"/>
    <w:rsid w:val="00A30C61"/>
    <w:rsid w:val="00A330C7"/>
    <w:rsid w:val="00A33374"/>
    <w:rsid w:val="00A37785"/>
    <w:rsid w:val="00A42B89"/>
    <w:rsid w:val="00A5091F"/>
    <w:rsid w:val="00A70A95"/>
    <w:rsid w:val="00A87D5A"/>
    <w:rsid w:val="00A96A96"/>
    <w:rsid w:val="00A96EE9"/>
    <w:rsid w:val="00A979B2"/>
    <w:rsid w:val="00AA0FFC"/>
    <w:rsid w:val="00AA1ADB"/>
    <w:rsid w:val="00AA330A"/>
    <w:rsid w:val="00AA4ED2"/>
    <w:rsid w:val="00AA5275"/>
    <w:rsid w:val="00AB5C71"/>
    <w:rsid w:val="00AC0172"/>
    <w:rsid w:val="00AC1A7E"/>
    <w:rsid w:val="00AC2085"/>
    <w:rsid w:val="00AC3818"/>
    <w:rsid w:val="00AC6140"/>
    <w:rsid w:val="00AC6FD2"/>
    <w:rsid w:val="00AC7ED7"/>
    <w:rsid w:val="00AD3549"/>
    <w:rsid w:val="00AD42EE"/>
    <w:rsid w:val="00AE2A62"/>
    <w:rsid w:val="00AE5AC5"/>
    <w:rsid w:val="00AF5E5C"/>
    <w:rsid w:val="00AF762E"/>
    <w:rsid w:val="00B00006"/>
    <w:rsid w:val="00B0750F"/>
    <w:rsid w:val="00B10514"/>
    <w:rsid w:val="00B24F18"/>
    <w:rsid w:val="00B313D8"/>
    <w:rsid w:val="00B3229B"/>
    <w:rsid w:val="00B361E4"/>
    <w:rsid w:val="00B36663"/>
    <w:rsid w:val="00B403E5"/>
    <w:rsid w:val="00B44A8F"/>
    <w:rsid w:val="00B47A6D"/>
    <w:rsid w:val="00B51437"/>
    <w:rsid w:val="00B52199"/>
    <w:rsid w:val="00B5539F"/>
    <w:rsid w:val="00B60297"/>
    <w:rsid w:val="00B620A8"/>
    <w:rsid w:val="00B75E94"/>
    <w:rsid w:val="00B839FE"/>
    <w:rsid w:val="00B9433F"/>
    <w:rsid w:val="00BA48AD"/>
    <w:rsid w:val="00BB0207"/>
    <w:rsid w:val="00BB2BE6"/>
    <w:rsid w:val="00BD138E"/>
    <w:rsid w:val="00BD5873"/>
    <w:rsid w:val="00BE58D1"/>
    <w:rsid w:val="00BF06CC"/>
    <w:rsid w:val="00BF23C6"/>
    <w:rsid w:val="00BF5EC0"/>
    <w:rsid w:val="00C10841"/>
    <w:rsid w:val="00C14A5A"/>
    <w:rsid w:val="00C22123"/>
    <w:rsid w:val="00C22EC3"/>
    <w:rsid w:val="00C24564"/>
    <w:rsid w:val="00C26449"/>
    <w:rsid w:val="00C35FDD"/>
    <w:rsid w:val="00C41FA9"/>
    <w:rsid w:val="00C526BA"/>
    <w:rsid w:val="00C546FA"/>
    <w:rsid w:val="00C56759"/>
    <w:rsid w:val="00C75EE3"/>
    <w:rsid w:val="00C83032"/>
    <w:rsid w:val="00C847E2"/>
    <w:rsid w:val="00C871E6"/>
    <w:rsid w:val="00CA0DF5"/>
    <w:rsid w:val="00CA5585"/>
    <w:rsid w:val="00CA580A"/>
    <w:rsid w:val="00CB6F04"/>
    <w:rsid w:val="00CB798D"/>
    <w:rsid w:val="00CC0647"/>
    <w:rsid w:val="00CC4DA3"/>
    <w:rsid w:val="00CC53F4"/>
    <w:rsid w:val="00CC7F14"/>
    <w:rsid w:val="00CE4513"/>
    <w:rsid w:val="00CF4A09"/>
    <w:rsid w:val="00CF729F"/>
    <w:rsid w:val="00CF7CAA"/>
    <w:rsid w:val="00D01DD1"/>
    <w:rsid w:val="00D02B0A"/>
    <w:rsid w:val="00D05567"/>
    <w:rsid w:val="00D15AB2"/>
    <w:rsid w:val="00D16E54"/>
    <w:rsid w:val="00D17466"/>
    <w:rsid w:val="00D204A1"/>
    <w:rsid w:val="00D22367"/>
    <w:rsid w:val="00D2586B"/>
    <w:rsid w:val="00D32F00"/>
    <w:rsid w:val="00D373D6"/>
    <w:rsid w:val="00D44065"/>
    <w:rsid w:val="00D469A5"/>
    <w:rsid w:val="00D5092D"/>
    <w:rsid w:val="00D540F9"/>
    <w:rsid w:val="00D5744A"/>
    <w:rsid w:val="00D6668A"/>
    <w:rsid w:val="00D73802"/>
    <w:rsid w:val="00D8173F"/>
    <w:rsid w:val="00D81806"/>
    <w:rsid w:val="00D86421"/>
    <w:rsid w:val="00D95715"/>
    <w:rsid w:val="00DA4C72"/>
    <w:rsid w:val="00DB2D62"/>
    <w:rsid w:val="00DB6E1B"/>
    <w:rsid w:val="00DE1AA1"/>
    <w:rsid w:val="00DE3437"/>
    <w:rsid w:val="00DE7039"/>
    <w:rsid w:val="00DF1C77"/>
    <w:rsid w:val="00DF2CCA"/>
    <w:rsid w:val="00E079EF"/>
    <w:rsid w:val="00E1019B"/>
    <w:rsid w:val="00E1480A"/>
    <w:rsid w:val="00E1694F"/>
    <w:rsid w:val="00E23527"/>
    <w:rsid w:val="00E23B08"/>
    <w:rsid w:val="00E259F5"/>
    <w:rsid w:val="00E336F7"/>
    <w:rsid w:val="00E339CB"/>
    <w:rsid w:val="00E3563B"/>
    <w:rsid w:val="00E41213"/>
    <w:rsid w:val="00E428DD"/>
    <w:rsid w:val="00E43947"/>
    <w:rsid w:val="00E46487"/>
    <w:rsid w:val="00E507E5"/>
    <w:rsid w:val="00E511CB"/>
    <w:rsid w:val="00E512A0"/>
    <w:rsid w:val="00E5142C"/>
    <w:rsid w:val="00E572ED"/>
    <w:rsid w:val="00E66966"/>
    <w:rsid w:val="00E66C01"/>
    <w:rsid w:val="00E7627A"/>
    <w:rsid w:val="00E77E78"/>
    <w:rsid w:val="00E94C8F"/>
    <w:rsid w:val="00EA1FBC"/>
    <w:rsid w:val="00EB3225"/>
    <w:rsid w:val="00EC1681"/>
    <w:rsid w:val="00EC50EC"/>
    <w:rsid w:val="00ED0A7B"/>
    <w:rsid w:val="00ED0DFC"/>
    <w:rsid w:val="00ED4B0B"/>
    <w:rsid w:val="00EE0B3B"/>
    <w:rsid w:val="00EE38C3"/>
    <w:rsid w:val="00EE3C58"/>
    <w:rsid w:val="00EE5011"/>
    <w:rsid w:val="00EE53EC"/>
    <w:rsid w:val="00EE59A4"/>
    <w:rsid w:val="00EE6785"/>
    <w:rsid w:val="00EF3465"/>
    <w:rsid w:val="00F055D5"/>
    <w:rsid w:val="00F05C61"/>
    <w:rsid w:val="00F1402D"/>
    <w:rsid w:val="00F1655F"/>
    <w:rsid w:val="00F1753B"/>
    <w:rsid w:val="00F30EFB"/>
    <w:rsid w:val="00F371CD"/>
    <w:rsid w:val="00F469AA"/>
    <w:rsid w:val="00F568EE"/>
    <w:rsid w:val="00F754BC"/>
    <w:rsid w:val="00F82F98"/>
    <w:rsid w:val="00F83033"/>
    <w:rsid w:val="00F90686"/>
    <w:rsid w:val="00F949C4"/>
    <w:rsid w:val="00F957D6"/>
    <w:rsid w:val="00F9756A"/>
    <w:rsid w:val="00FA1F17"/>
    <w:rsid w:val="00FB0428"/>
    <w:rsid w:val="00FB2C0C"/>
    <w:rsid w:val="00FB736B"/>
    <w:rsid w:val="00FC386F"/>
    <w:rsid w:val="00FD67EA"/>
    <w:rsid w:val="00FE7AD0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B2E3"/>
  <w15:chartTrackingRefBased/>
  <w15:docId w15:val="{F576E40F-A665-42CE-9CCF-76F158AD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2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ED0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ECE"/>
    <w:pPr>
      <w:ind w:left="720"/>
      <w:contextualSpacing/>
    </w:pPr>
  </w:style>
  <w:style w:type="character" w:styleId="Hyperlink">
    <w:name w:val="Hyperlink"/>
    <w:rsid w:val="008575B6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857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rsid w:val="00857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575B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8575B6"/>
    <w:rPr>
      <w:vertAlign w:val="superscript"/>
    </w:rPr>
  </w:style>
  <w:style w:type="table" w:styleId="Tabellenraster">
    <w:name w:val="Table Grid"/>
    <w:basedOn w:val="NormaleTabelle"/>
    <w:uiPriority w:val="39"/>
    <w:rsid w:val="006D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D5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7E2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0A7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2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itaviLiteraturverzeichnis">
    <w:name w:val="Citavi Literaturverzeichnis"/>
    <w:uiPriority w:val="99"/>
    <w:rsid w:val="00E572ED"/>
    <w:pPr>
      <w:autoSpaceDE w:val="0"/>
      <w:autoSpaceDN w:val="0"/>
      <w:adjustRightInd w:val="0"/>
      <w:spacing w:after="60" w:line="240" w:lineRule="auto"/>
      <w:ind w:left="283" w:hanging="283"/>
    </w:pPr>
    <w:rPr>
      <w:rFonts w:ascii="Segoe UI" w:hAnsi="Segoe UI" w:cs="Segoe UI"/>
      <w:sz w:val="18"/>
      <w:szCs w:val="18"/>
      <w:lang w:val="en-US"/>
    </w:rPr>
  </w:style>
  <w:style w:type="character" w:styleId="Fett">
    <w:name w:val="Strong"/>
    <w:basedOn w:val="Absatz-Standardschriftart"/>
    <w:uiPriority w:val="22"/>
    <w:qFormat/>
    <w:rsid w:val="00517DA1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31383"/>
    <w:rPr>
      <w:color w:val="954F72" w:themeColor="followedHyperlink"/>
      <w:u w:val="single"/>
    </w:rPr>
  </w:style>
  <w:style w:type="character" w:customStyle="1" w:styleId="mi">
    <w:name w:val="mi"/>
    <w:basedOn w:val="Absatz-Standardschriftart"/>
    <w:rsid w:val="00CC0647"/>
  </w:style>
  <w:style w:type="character" w:customStyle="1" w:styleId="mo">
    <w:name w:val="mo"/>
    <w:basedOn w:val="Absatz-Standardschriftart"/>
    <w:rsid w:val="00CC0647"/>
  </w:style>
  <w:style w:type="paragraph" w:styleId="Kopfzeile">
    <w:name w:val="header"/>
    <w:basedOn w:val="Standard"/>
    <w:link w:val="Kopf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F54"/>
  </w:style>
  <w:style w:type="paragraph" w:styleId="Fuzeile">
    <w:name w:val="footer"/>
    <w:basedOn w:val="Standard"/>
    <w:link w:val="Fu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emenspezial.eskp.de/plastik-in-gewaessern/handlungsoptionen/mikroplastik-in-abwaesser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734FC-E7BA-4273-AD36-F474E3A6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bt305302</dc:creator>
  <cp:keywords/>
  <dc:description/>
  <cp:lastModifiedBy>Patricia Raab</cp:lastModifiedBy>
  <cp:revision>5</cp:revision>
  <cp:lastPrinted>2019-11-13T13:02:00Z</cp:lastPrinted>
  <dcterms:created xsi:type="dcterms:W3CDTF">2021-05-12T15:47:00Z</dcterms:created>
  <dcterms:modified xsi:type="dcterms:W3CDTF">2021-05-16T15:58:00Z</dcterms:modified>
</cp:coreProperties>
</file>