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377" w:rsidRPr="005C6DE8" w:rsidRDefault="002C6377" w:rsidP="002C6377">
      <w:pPr>
        <w:rPr>
          <w:b/>
        </w:rPr>
      </w:pPr>
      <w:r w:rsidRPr="005C6DE8">
        <w:rPr>
          <w:b/>
        </w:rPr>
        <w:t xml:space="preserve">Thema dieses Informationsblattes: </w:t>
      </w:r>
      <w:r>
        <w:rPr>
          <w:b/>
        </w:rPr>
        <w:t xml:space="preserve">Krankheitserreger im </w:t>
      </w:r>
      <w:r w:rsidR="00A603F1">
        <w:rPr>
          <w:b/>
        </w:rPr>
        <w:t>Trinkwasser</w:t>
      </w:r>
    </w:p>
    <w:p w:rsidR="00BA78FA" w:rsidRDefault="00BA78FA"/>
    <w:tbl>
      <w:tblPr>
        <w:tblStyle w:val="Tabellenraster"/>
        <w:tblW w:w="0" w:type="auto"/>
        <w:tblLayout w:type="fixed"/>
        <w:tblLook w:val="04A0" w:firstRow="1" w:lastRow="0" w:firstColumn="1" w:lastColumn="0" w:noHBand="0" w:noVBand="1"/>
      </w:tblPr>
      <w:tblGrid>
        <w:gridCol w:w="2689"/>
        <w:gridCol w:w="6093"/>
      </w:tblGrid>
      <w:tr w:rsidR="00BA78FA" w:rsidTr="00BA78FA">
        <w:tc>
          <w:tcPr>
            <w:tcW w:w="2689" w:type="dxa"/>
          </w:tcPr>
          <w:p w:rsidR="00BA78FA" w:rsidRDefault="00BA78FA">
            <w:r>
              <w:t>Autor</w:t>
            </w:r>
          </w:p>
        </w:tc>
        <w:tc>
          <w:tcPr>
            <w:tcW w:w="6093" w:type="dxa"/>
          </w:tcPr>
          <w:p w:rsidR="00BA78FA" w:rsidRDefault="005A4C3D" w:rsidP="005A4C3D">
            <w:r>
              <w:t>Johannes Ho</w:t>
            </w:r>
          </w:p>
        </w:tc>
      </w:tr>
      <w:tr w:rsidR="00BA78FA" w:rsidTr="00BA78FA">
        <w:tc>
          <w:tcPr>
            <w:tcW w:w="2689" w:type="dxa"/>
          </w:tcPr>
          <w:p w:rsidR="00BA78FA" w:rsidRDefault="009B4388">
            <w:r>
              <w:t>Projektpartner</w:t>
            </w:r>
          </w:p>
        </w:tc>
        <w:tc>
          <w:tcPr>
            <w:tcW w:w="6093" w:type="dxa"/>
          </w:tcPr>
          <w:p w:rsidR="00BA78FA" w:rsidRDefault="005E60B8">
            <w:r>
              <w:t>Technologiezentrum Wasser</w:t>
            </w:r>
          </w:p>
        </w:tc>
      </w:tr>
      <w:tr w:rsidR="00BA78FA" w:rsidTr="00BA78FA">
        <w:tc>
          <w:tcPr>
            <w:tcW w:w="2689" w:type="dxa"/>
          </w:tcPr>
          <w:p w:rsidR="00BA78FA" w:rsidRDefault="00BA78FA">
            <w:r>
              <w:t>Datum</w:t>
            </w:r>
          </w:p>
        </w:tc>
        <w:tc>
          <w:tcPr>
            <w:tcW w:w="6093" w:type="dxa"/>
          </w:tcPr>
          <w:p w:rsidR="00BA78FA" w:rsidRDefault="00663F50" w:rsidP="00663F50">
            <w:r>
              <w:t>02.10.2017</w:t>
            </w:r>
          </w:p>
        </w:tc>
      </w:tr>
      <w:tr w:rsidR="00BA78FA" w:rsidRPr="00BA78FA" w:rsidTr="00BA78FA">
        <w:tc>
          <w:tcPr>
            <w:tcW w:w="2689" w:type="dxa"/>
          </w:tcPr>
          <w:p w:rsidR="00BA78FA" w:rsidRPr="00CE40F6" w:rsidRDefault="00BA78FA" w:rsidP="00BA78FA">
            <w:r w:rsidRPr="00CE40F6">
              <w:t>Creative Commons License</w:t>
            </w:r>
          </w:p>
          <w:p w:rsidR="00BA78FA" w:rsidRPr="00BA78FA" w:rsidRDefault="00BA78FA" w:rsidP="002C6377">
            <w:r w:rsidRPr="00BA78FA">
              <w:t>(</w:t>
            </w:r>
            <w:hyperlink r:id="rId7" w:history="1">
              <w:r w:rsidRPr="00BA78FA">
                <w:rPr>
                  <w:rStyle w:val="Hyperlink"/>
                </w:rPr>
                <w:t>https://de.wikipedia.org/wiki/Creative_Commons</w:t>
              </w:r>
            </w:hyperlink>
            <w:r w:rsidR="002C6377">
              <w:t>)</w:t>
            </w:r>
          </w:p>
        </w:tc>
        <w:tc>
          <w:tcPr>
            <w:tcW w:w="6093" w:type="dxa"/>
          </w:tcPr>
          <w:p w:rsidR="00BA78FA" w:rsidRPr="00BA78FA" w:rsidRDefault="009B4388">
            <w:r>
              <w:rPr>
                <w:noProof/>
                <w:color w:val="0000FF"/>
                <w:lang w:eastAsia="de-DE"/>
              </w:rPr>
              <w:drawing>
                <wp:inline distT="0" distB="0" distL="0" distR="0">
                  <wp:extent cx="192405" cy="192405"/>
                  <wp:effectExtent l="0" t="0" r="0" b="0"/>
                  <wp:docPr id="3" name="Grafik 3" descr="Cc-by new.sv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new.sv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05" cy="192405"/>
                          </a:xfrm>
                          <a:prstGeom prst="rect">
                            <a:avLst/>
                          </a:prstGeom>
                          <a:noFill/>
                          <a:ln>
                            <a:noFill/>
                          </a:ln>
                        </pic:spPr>
                      </pic:pic>
                    </a:graphicData>
                  </a:graphic>
                </wp:inline>
              </w:drawing>
            </w:r>
            <w:r>
              <w:rPr>
                <w:noProof/>
                <w:color w:val="0000FF"/>
                <w:lang w:eastAsia="de-DE"/>
              </w:rPr>
              <w:drawing>
                <wp:inline distT="0" distB="0" distL="0" distR="0">
                  <wp:extent cx="192405" cy="192405"/>
                  <wp:effectExtent l="0" t="0" r="0" b="0"/>
                  <wp:docPr id="2" name="Grafik 2" descr="Cc-nc.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nc.sv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 cy="192405"/>
                          </a:xfrm>
                          <a:prstGeom prst="rect">
                            <a:avLst/>
                          </a:prstGeom>
                          <a:noFill/>
                          <a:ln>
                            <a:noFill/>
                          </a:ln>
                        </pic:spPr>
                      </pic:pic>
                    </a:graphicData>
                  </a:graphic>
                </wp:inline>
              </w:drawing>
            </w:r>
            <w:r>
              <w:rPr>
                <w:noProof/>
                <w:color w:val="0000FF"/>
                <w:lang w:eastAsia="de-DE"/>
              </w:rPr>
              <w:drawing>
                <wp:inline distT="0" distB="0" distL="0" distR="0">
                  <wp:extent cx="192405" cy="192405"/>
                  <wp:effectExtent l="0" t="0" r="0" b="0"/>
                  <wp:docPr id="1" name="Grafik 1" descr="Cc-sa.sv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sa.sv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05" cy="192405"/>
                          </a:xfrm>
                          <a:prstGeom prst="rect">
                            <a:avLst/>
                          </a:prstGeom>
                          <a:noFill/>
                          <a:ln>
                            <a:noFill/>
                          </a:ln>
                        </pic:spPr>
                      </pic:pic>
                    </a:graphicData>
                  </a:graphic>
                </wp:inline>
              </w:drawing>
            </w:r>
            <w:r>
              <w:br/>
              <w:t>by-nc-sa</w:t>
            </w:r>
          </w:p>
        </w:tc>
      </w:tr>
    </w:tbl>
    <w:p w:rsidR="00B710B6" w:rsidRPr="00BA78FA" w:rsidRDefault="00B710B6"/>
    <w:p w:rsidR="00540E94" w:rsidRDefault="00540E94"/>
    <w:p w:rsidR="00A603F1" w:rsidRDefault="00A603F1" w:rsidP="00540E94">
      <w:pPr>
        <w:pStyle w:val="Listenabsatz"/>
        <w:numPr>
          <w:ilvl w:val="0"/>
          <w:numId w:val="2"/>
        </w:numPr>
      </w:pPr>
      <w:r>
        <w:t>Diese und andere Krankheitserreger kommen in unserem Abwasser vor. Nach der Reinigung des Abwassers durch die Kläranlage und die Natur dürfen sie nur noch in ganz geringen</w:t>
      </w:r>
      <w:r w:rsidR="000E2549">
        <w:t>, genau festgelegten,</w:t>
      </w:r>
      <w:r>
        <w:t xml:space="preserve"> </w:t>
      </w:r>
      <w:r w:rsidR="000E2549">
        <w:t>M</w:t>
      </w:r>
      <w:bookmarkStart w:id="0" w:name="_GoBack"/>
      <w:bookmarkEnd w:id="0"/>
      <w:r>
        <w:t xml:space="preserve">engen in unserem Trinkwasser drin sein, damit der Mensch nicht krank davon wird. </w:t>
      </w:r>
    </w:p>
    <w:p w:rsidR="00540E94" w:rsidRDefault="00540E94" w:rsidP="00A603F1">
      <w:pPr>
        <w:pStyle w:val="Listenabsatz"/>
      </w:pPr>
    </w:p>
    <w:tbl>
      <w:tblPr>
        <w:tblStyle w:val="Tabellenraster"/>
        <w:tblW w:w="0" w:type="auto"/>
        <w:tblInd w:w="-34" w:type="dxa"/>
        <w:tblLook w:val="04A0" w:firstRow="1" w:lastRow="0" w:firstColumn="1" w:lastColumn="0" w:noHBand="0" w:noVBand="1"/>
      </w:tblPr>
      <w:tblGrid>
        <w:gridCol w:w="5479"/>
        <w:gridCol w:w="3617"/>
      </w:tblGrid>
      <w:tr w:rsidR="00C93065" w:rsidTr="00540E94">
        <w:tc>
          <w:tcPr>
            <w:tcW w:w="9322" w:type="dxa"/>
            <w:gridSpan w:val="2"/>
          </w:tcPr>
          <w:p w:rsidR="00C93065" w:rsidRPr="00C93065" w:rsidRDefault="00C93065" w:rsidP="00957E6A">
            <w:pPr>
              <w:pStyle w:val="Listenabsatz"/>
              <w:ind w:left="0"/>
              <w:rPr>
                <w:b/>
              </w:rPr>
            </w:pPr>
            <w:r>
              <w:t>Nach § 5 der Trinkwasserverordnung dürfen im Trinkwasser „Krankheitserreger im Sinne des § 2 Nummer 1 des Infektionsschutzgesetzes, die durch Wasser übertragen werden können, nicht in Konzentrationen enthalten sein, die eine Schädigung der menschlichen Gesundheit besorgen lassen“ (TrinkwV, 2001). Dies schließt Viren, Bakterien, Pilze und Parasiten mit ein (§ 2,(IfSG, 2000).</w:t>
            </w:r>
          </w:p>
        </w:tc>
      </w:tr>
      <w:tr w:rsidR="00540E94" w:rsidTr="00540E94">
        <w:tc>
          <w:tcPr>
            <w:tcW w:w="9322" w:type="dxa"/>
            <w:gridSpan w:val="2"/>
          </w:tcPr>
          <w:p w:rsidR="00540E94" w:rsidRDefault="00540E94" w:rsidP="00957E6A">
            <w:pPr>
              <w:pStyle w:val="Listenabsatz"/>
              <w:ind w:left="0"/>
            </w:pPr>
            <w:r w:rsidRPr="00C93065">
              <w:rPr>
                <w:b/>
              </w:rPr>
              <w:t>Viren</w:t>
            </w:r>
            <w:r w:rsidRPr="00540E94">
              <w:t xml:space="preserve"> können sich im Gegensatz zu Bakterien nicht selbstständig vermehren. Neben direkter Übertragung von Mensch zu Mensch oder über kontaminierte Oberflächen können einige Viren auch über den Wasserpfad übertragen werden. Für viele virale Erkrankungen haben Impfstoffe nur begrenzte Wirksamkeit (z.B. 3 Jahre bei Rotaviren) oder sind gar nicht verfügbar</w:t>
            </w:r>
            <w:r>
              <w:t>.</w:t>
            </w:r>
          </w:p>
        </w:tc>
      </w:tr>
      <w:tr w:rsidR="00540E94" w:rsidTr="00B7620C">
        <w:tc>
          <w:tcPr>
            <w:tcW w:w="5812" w:type="dxa"/>
          </w:tcPr>
          <w:p w:rsidR="00D101F9" w:rsidRDefault="00540E94" w:rsidP="00540E94">
            <w:pPr>
              <w:pStyle w:val="Listenabsatz"/>
              <w:ind w:left="0"/>
              <w:jc w:val="both"/>
            </w:pPr>
            <w:r>
              <w:rPr>
                <w:b/>
                <w:bCs/>
              </w:rPr>
              <w:t xml:space="preserve">Noroviren </w:t>
            </w:r>
            <w:r>
              <w:t>verursachen Brechdurchfall und kommen vermehrt in den Wintermonaten vor. Infektionen sind besonders für ältere oder immungeschwächte Menschen in Krankenhäusern und Altersheimen gefährlich. Die Viren werden fäkal-oral übertragen. 2012 kam es in Deutschland zu einem großen Ausbruch durch mit Fäkalien kontaminierte Tiefkühlerdbeeren mit 10950 Fällen.</w:t>
            </w:r>
          </w:p>
          <w:p w:rsidR="00D101F9" w:rsidRPr="009D10D8" w:rsidRDefault="009D10D8" w:rsidP="00540E94">
            <w:pPr>
              <w:pStyle w:val="Listenabsatz"/>
              <w:ind w:left="0"/>
              <w:jc w:val="both"/>
            </w:pPr>
            <w:r>
              <w:rPr>
                <w:b/>
              </w:rPr>
              <w:t>Form</w:t>
            </w:r>
            <w:r w:rsidR="00D101F9">
              <w:t>:</w:t>
            </w:r>
            <w:r>
              <w:t xml:space="preserve"> </w:t>
            </w:r>
            <w:r w:rsidRPr="009D10D8">
              <w:tab/>
              <w:t>ikosaedrisch</w:t>
            </w:r>
            <w:r>
              <w:t>, 35-39 nm</w:t>
            </w:r>
          </w:p>
          <w:p w:rsidR="00D101F9" w:rsidRDefault="00D101F9" w:rsidP="00540E94">
            <w:pPr>
              <w:pStyle w:val="Listenabsatz"/>
              <w:ind w:left="0"/>
              <w:jc w:val="both"/>
            </w:pPr>
            <w:r w:rsidRPr="009D10D8">
              <w:rPr>
                <w:b/>
              </w:rPr>
              <w:t>Genom</w:t>
            </w:r>
            <w:r w:rsidRPr="009D10D8">
              <w:t>:</w:t>
            </w:r>
            <w:r w:rsidR="009D10D8" w:rsidRPr="009D10D8">
              <w:t xml:space="preserve"> Einzelstrang</w:t>
            </w:r>
            <w:r w:rsidR="009D10D8">
              <w:t xml:space="preserve"> RNA, 7,7 kb</w:t>
            </w:r>
          </w:p>
        </w:tc>
        <w:tc>
          <w:tcPr>
            <w:tcW w:w="3510" w:type="dxa"/>
          </w:tcPr>
          <w:p w:rsidR="00540E94" w:rsidRDefault="000B482F" w:rsidP="00957E6A">
            <w:pPr>
              <w:pStyle w:val="Listenabsatz"/>
              <w:ind w:left="0"/>
            </w:pPr>
            <w:r>
              <w:rPr>
                <w:noProof/>
                <w:lang w:eastAsia="de-DE"/>
              </w:rPr>
              <w:drawing>
                <wp:inline distT="0" distB="0" distL="0" distR="0">
                  <wp:extent cx="2160000" cy="152571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0B4D1.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525710"/>
                          </a:xfrm>
                          <a:prstGeom prst="rect">
                            <a:avLst/>
                          </a:prstGeom>
                        </pic:spPr>
                      </pic:pic>
                    </a:graphicData>
                  </a:graphic>
                </wp:inline>
              </w:drawing>
            </w:r>
          </w:p>
        </w:tc>
      </w:tr>
      <w:tr w:rsidR="00540E94" w:rsidTr="00B7620C">
        <w:tc>
          <w:tcPr>
            <w:tcW w:w="5812" w:type="dxa"/>
          </w:tcPr>
          <w:p w:rsidR="009D10D8" w:rsidRDefault="00540E94" w:rsidP="00540E94">
            <w:pPr>
              <w:pStyle w:val="Listenabsatz"/>
              <w:ind w:left="0"/>
              <w:jc w:val="both"/>
            </w:pPr>
            <w:r w:rsidRPr="00540E94">
              <w:rPr>
                <w:b/>
              </w:rPr>
              <w:t>Adenoviren</w:t>
            </w:r>
            <w:r>
              <w:rPr>
                <w:b/>
              </w:rPr>
              <w:t xml:space="preserve"> </w:t>
            </w:r>
            <w:r w:rsidRPr="00540E94">
              <w:t>können Fieber, Augen- und Lungenentzündungen hervorrufen. Sie sind für 3 bis 9 % der Magen-Darm-Entzündungen bei Kindern verantwortlich. Von Adenoviren sind über 40 Typen bekannt, die teilweise unterschiedliche Krankheiten hervorrufen. Die Viren werden fäkal-oral über Wasser, Lebensmittel oder kontaminierte Oberflächen verbreitet und kommen das ganze Jahr über vor. Es gibt keine spezifische Therapie; eine Immunisierung ist nicht möglich</w:t>
            </w:r>
          </w:p>
          <w:p w:rsidR="009D10D8" w:rsidRPr="009D10D8" w:rsidRDefault="009D10D8" w:rsidP="009D10D8">
            <w:pPr>
              <w:pStyle w:val="Listenabsatz"/>
              <w:ind w:left="0"/>
              <w:jc w:val="both"/>
            </w:pPr>
            <w:r>
              <w:rPr>
                <w:b/>
              </w:rPr>
              <w:t>Form</w:t>
            </w:r>
            <w:r>
              <w:t xml:space="preserve">: </w:t>
            </w:r>
            <w:r w:rsidRPr="009D10D8">
              <w:tab/>
              <w:t>ikosaedrisch</w:t>
            </w:r>
            <w:r>
              <w:t>, 70-90 nm</w:t>
            </w:r>
          </w:p>
          <w:p w:rsidR="009D10D8" w:rsidRPr="00540E94" w:rsidRDefault="009D10D8" w:rsidP="009D10D8">
            <w:pPr>
              <w:pStyle w:val="Listenabsatz"/>
              <w:ind w:left="0"/>
              <w:jc w:val="both"/>
              <w:rPr>
                <w:b/>
              </w:rPr>
            </w:pPr>
            <w:r w:rsidRPr="009D10D8">
              <w:rPr>
                <w:b/>
              </w:rPr>
              <w:t>Genom</w:t>
            </w:r>
            <w:r w:rsidRPr="009D10D8">
              <w:t xml:space="preserve">: </w:t>
            </w:r>
            <w:r>
              <w:t>Doppelstrang DNA, 26-45 kbp</w:t>
            </w:r>
          </w:p>
        </w:tc>
        <w:tc>
          <w:tcPr>
            <w:tcW w:w="3510" w:type="dxa"/>
          </w:tcPr>
          <w:p w:rsidR="00540E94" w:rsidRDefault="000B482F" w:rsidP="00957E6A">
            <w:pPr>
              <w:pStyle w:val="Listenabsatz"/>
              <w:ind w:left="0"/>
            </w:pPr>
            <w:r>
              <w:rPr>
                <w:noProof/>
                <w:lang w:eastAsia="de-DE"/>
              </w:rPr>
              <w:drawing>
                <wp:inline distT="0" distB="0" distL="0" distR="0">
                  <wp:extent cx="2160000" cy="1532618"/>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0C575.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532618"/>
                          </a:xfrm>
                          <a:prstGeom prst="rect">
                            <a:avLst/>
                          </a:prstGeom>
                        </pic:spPr>
                      </pic:pic>
                    </a:graphicData>
                  </a:graphic>
                </wp:inline>
              </w:drawing>
            </w:r>
          </w:p>
        </w:tc>
      </w:tr>
      <w:tr w:rsidR="00540E94" w:rsidTr="00B7620C">
        <w:tc>
          <w:tcPr>
            <w:tcW w:w="5812" w:type="dxa"/>
          </w:tcPr>
          <w:p w:rsidR="001320EA" w:rsidRDefault="00540E94" w:rsidP="00540E94">
            <w:pPr>
              <w:pStyle w:val="Listenabsatz"/>
              <w:ind w:left="0"/>
              <w:jc w:val="both"/>
            </w:pPr>
            <w:r>
              <w:rPr>
                <w:b/>
                <w:bCs/>
              </w:rPr>
              <w:lastRenderedPageBreak/>
              <w:t xml:space="preserve">Enteroviren </w:t>
            </w:r>
            <w:r>
              <w:t>sind eine diverse Gruppe von Viren, die für Kinderlähmung (Polioviren), Erkrankungen des Herzmuskels, sowie die Hand-, Fuß- und Mundkrankheit (Coxsackieviren) und Hirnhautentzündungen (Echoviren) verantwortlich sind. Erkältungen und Fieber sind mildere Symptome einer Infektion. Eine Übertragung erfolgt fäkal-oral, auch über kontaminiertes Wasser. Die</w:t>
            </w:r>
            <w:r w:rsidR="001320EA">
              <w:t>se</w:t>
            </w:r>
            <w:r>
              <w:t xml:space="preserve"> Viren treten im Abwasser meist in geringerer Konzentration als Indikatorbakterien auf</w:t>
            </w:r>
            <w:r w:rsidR="001320EA">
              <w:t>.</w:t>
            </w:r>
          </w:p>
          <w:p w:rsidR="00327FFD" w:rsidRPr="009D10D8" w:rsidRDefault="00327FFD" w:rsidP="00327FFD">
            <w:pPr>
              <w:pStyle w:val="Listenabsatz"/>
              <w:ind w:left="0"/>
              <w:jc w:val="both"/>
            </w:pPr>
            <w:r>
              <w:rPr>
                <w:b/>
              </w:rPr>
              <w:t>Form</w:t>
            </w:r>
            <w:r>
              <w:t xml:space="preserve">: </w:t>
            </w:r>
            <w:r w:rsidRPr="009D10D8">
              <w:tab/>
              <w:t>ikosaedrisch</w:t>
            </w:r>
            <w:r>
              <w:t>, 35-39 nm</w:t>
            </w:r>
          </w:p>
          <w:p w:rsidR="001320EA" w:rsidRDefault="00327FFD" w:rsidP="00327FFD">
            <w:pPr>
              <w:pStyle w:val="Listenabsatz"/>
              <w:ind w:left="0"/>
              <w:jc w:val="both"/>
            </w:pPr>
            <w:r w:rsidRPr="009D10D8">
              <w:rPr>
                <w:b/>
              </w:rPr>
              <w:t>Genom</w:t>
            </w:r>
            <w:r w:rsidRPr="009D10D8">
              <w:t>: Einzelstrang</w:t>
            </w:r>
            <w:r>
              <w:t xml:space="preserve"> RNA, 7,5 kb</w:t>
            </w:r>
          </w:p>
        </w:tc>
        <w:tc>
          <w:tcPr>
            <w:tcW w:w="3510" w:type="dxa"/>
          </w:tcPr>
          <w:p w:rsidR="00540E94" w:rsidRDefault="000B482F" w:rsidP="00957E6A">
            <w:pPr>
              <w:pStyle w:val="Listenabsatz"/>
              <w:ind w:left="0"/>
            </w:pPr>
            <w:r>
              <w:rPr>
                <w:noProof/>
                <w:lang w:eastAsia="de-DE"/>
              </w:rPr>
              <w:drawing>
                <wp:inline distT="0" distB="0" distL="0" distR="0">
                  <wp:extent cx="2160000" cy="1572620"/>
                  <wp:effectExtent l="0" t="0" r="0"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0CDB0.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572620"/>
                          </a:xfrm>
                          <a:prstGeom prst="rect">
                            <a:avLst/>
                          </a:prstGeom>
                        </pic:spPr>
                      </pic:pic>
                    </a:graphicData>
                  </a:graphic>
                </wp:inline>
              </w:drawing>
            </w:r>
          </w:p>
        </w:tc>
      </w:tr>
      <w:tr w:rsidR="00540E94" w:rsidTr="00B7620C">
        <w:tc>
          <w:tcPr>
            <w:tcW w:w="5812" w:type="dxa"/>
          </w:tcPr>
          <w:p w:rsidR="00327FFD" w:rsidRDefault="00540E94" w:rsidP="00540E94">
            <w:pPr>
              <w:jc w:val="both"/>
            </w:pPr>
            <w:r w:rsidRPr="00540E94">
              <w:rPr>
                <w:b/>
              </w:rPr>
              <w:t>Bakteriophagen</w:t>
            </w:r>
            <w:r>
              <w:t xml:space="preserve"> sind Viren, die Bakterien infizieren und somit für den Menschen ungefährlich sind. Die Bakteriophagen phiX174 und MS2 infizieren </w:t>
            </w:r>
            <w:r w:rsidRPr="00D145D4">
              <w:rPr>
                <w:i/>
              </w:rPr>
              <w:t>E. coli</w:t>
            </w:r>
            <w:r>
              <w:t xml:space="preserve"> bzw. coliforme Bakterien und werden somit auch Coliphagen genannt. Phagen können als Modelle für humanpathogene Viren eingesetzt werden, da sie sich vergleichbar bei Desinfektionsverfahren verhalten, leichter nachzuweisen sind und meist in </w:t>
            </w:r>
            <w:r w:rsidRPr="00540E94">
              <w:t>höh</w:t>
            </w:r>
            <w:r>
              <w:t>eren Konzentrationen vorkommen.</w:t>
            </w:r>
          </w:p>
          <w:p w:rsidR="00327FFD" w:rsidRPr="009D10D8" w:rsidRDefault="00327FFD" w:rsidP="00327FFD">
            <w:pPr>
              <w:pStyle w:val="Listenabsatz"/>
              <w:ind w:left="0"/>
              <w:jc w:val="both"/>
            </w:pPr>
            <w:r>
              <w:rPr>
                <w:b/>
              </w:rPr>
              <w:t>Form</w:t>
            </w:r>
            <w:r>
              <w:t xml:space="preserve">: </w:t>
            </w:r>
            <w:r w:rsidRPr="009D10D8">
              <w:tab/>
              <w:t>ikosaedrisch</w:t>
            </w:r>
            <w:r>
              <w:t>, 27 nm</w:t>
            </w:r>
          </w:p>
          <w:p w:rsidR="00327FFD" w:rsidRDefault="00327FFD" w:rsidP="00327FFD">
            <w:pPr>
              <w:jc w:val="both"/>
            </w:pPr>
            <w:r w:rsidRPr="009D10D8">
              <w:rPr>
                <w:b/>
              </w:rPr>
              <w:t>Genom</w:t>
            </w:r>
            <w:r w:rsidRPr="009D10D8">
              <w:t xml:space="preserve">: </w:t>
            </w:r>
            <w:r>
              <w:t xml:space="preserve">MS2: </w:t>
            </w:r>
            <w:r w:rsidRPr="009D10D8">
              <w:t>Einzelstrang</w:t>
            </w:r>
            <w:r>
              <w:t xml:space="preserve"> RNA, 3569 bp, </w:t>
            </w:r>
          </w:p>
          <w:p w:rsidR="00327FFD" w:rsidRDefault="00327FFD" w:rsidP="00327FFD">
            <w:pPr>
              <w:jc w:val="both"/>
            </w:pPr>
            <w:r>
              <w:t xml:space="preserve">                phiX174, Einzelstrang DNA, 5386 bp</w:t>
            </w:r>
          </w:p>
        </w:tc>
        <w:tc>
          <w:tcPr>
            <w:tcW w:w="3510" w:type="dxa"/>
          </w:tcPr>
          <w:p w:rsidR="00540E94" w:rsidRDefault="00D101F9" w:rsidP="00957E6A">
            <w:pPr>
              <w:pStyle w:val="Listenabsatz"/>
              <w:ind w:left="0"/>
            </w:pPr>
            <w:r>
              <w:rPr>
                <w:noProof/>
                <w:lang w:eastAsia="de-DE"/>
              </w:rPr>
              <w:drawing>
                <wp:inline distT="0" distB="0" distL="0" distR="0">
                  <wp:extent cx="2160000" cy="171495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0408F.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714955"/>
                          </a:xfrm>
                          <a:prstGeom prst="rect">
                            <a:avLst/>
                          </a:prstGeom>
                        </pic:spPr>
                      </pic:pic>
                    </a:graphicData>
                  </a:graphic>
                </wp:inline>
              </w:drawing>
            </w:r>
          </w:p>
        </w:tc>
      </w:tr>
    </w:tbl>
    <w:p w:rsidR="00540E94" w:rsidRDefault="00540E94" w:rsidP="00B7620C"/>
    <w:p w:rsidR="00C93065" w:rsidRDefault="00C93065"/>
    <w:p w:rsidR="00B7620C" w:rsidRDefault="00B7620C" w:rsidP="00B7620C"/>
    <w:tbl>
      <w:tblPr>
        <w:tblStyle w:val="Tabellenraster"/>
        <w:tblW w:w="0" w:type="auto"/>
        <w:tblInd w:w="-34" w:type="dxa"/>
        <w:tblLayout w:type="fixed"/>
        <w:tblLook w:val="04A0" w:firstRow="1" w:lastRow="0" w:firstColumn="1" w:lastColumn="0" w:noHBand="0" w:noVBand="1"/>
      </w:tblPr>
      <w:tblGrid>
        <w:gridCol w:w="5812"/>
        <w:gridCol w:w="3510"/>
      </w:tblGrid>
      <w:tr w:rsidR="00C93065" w:rsidTr="00C64645">
        <w:tc>
          <w:tcPr>
            <w:tcW w:w="9322" w:type="dxa"/>
            <w:gridSpan w:val="2"/>
          </w:tcPr>
          <w:p w:rsidR="00C93065" w:rsidRDefault="00D8781B" w:rsidP="00370096">
            <w:pPr>
              <w:pStyle w:val="Listenabsatz"/>
              <w:ind w:left="0"/>
            </w:pPr>
            <w:r w:rsidRPr="00D8781B">
              <w:rPr>
                <w:b/>
              </w:rPr>
              <w:t>Bakterien</w:t>
            </w:r>
            <w:r>
              <w:t xml:space="preserve"> sind einzellige Organismen mit einer ungefähren Länge von einem bis fünf Mikrometern. Die Erbinformationen (DNA) der Bakterien liegt im Gegensatz zu den tierischen Zellen nicht in einem Zellkern, sondern in einem Kernäquivalent, dem Nucleoid.</w:t>
            </w:r>
            <w:r w:rsidR="00370096">
              <w:t xml:space="preserve"> Viele Bakterienarten sind gegen extreme Umweltbedingungen resistent und können somit auch umweltfeindliche Umgebunden besiedeln. Im direkter Verbindung mit dem Menschen erfüllen Bakterien eine Schutzfunktion </w:t>
            </w:r>
            <w:r w:rsidR="007B1DAB">
              <w:t>(</w:t>
            </w:r>
            <w:r w:rsidR="007B6BFB">
              <w:t xml:space="preserve">Haut-, Zahn- und Mundflora). </w:t>
            </w:r>
          </w:p>
        </w:tc>
      </w:tr>
      <w:tr w:rsidR="00C93065" w:rsidTr="00C64645">
        <w:tc>
          <w:tcPr>
            <w:tcW w:w="5812" w:type="dxa"/>
          </w:tcPr>
          <w:p w:rsidR="00C93065" w:rsidRDefault="00C93065" w:rsidP="00C93065">
            <w:pPr>
              <w:pStyle w:val="Listenabsatz"/>
              <w:ind w:left="0"/>
              <w:jc w:val="both"/>
            </w:pPr>
            <w:r>
              <w:rPr>
                <w:b/>
                <w:bCs/>
                <w:i/>
                <w:iCs/>
              </w:rPr>
              <w:t xml:space="preserve">Escherichia coli </w:t>
            </w:r>
            <w:r>
              <w:t>(</w:t>
            </w:r>
            <w:r>
              <w:rPr>
                <w:i/>
                <w:iCs/>
              </w:rPr>
              <w:t>E. coli</w:t>
            </w:r>
            <w:r>
              <w:t xml:space="preserve">) kommt im Darm von warmblütigen Tieren inklusive dem Menschen vor. </w:t>
            </w:r>
            <w:r>
              <w:rPr>
                <w:i/>
                <w:iCs/>
              </w:rPr>
              <w:t xml:space="preserve">E. coli </w:t>
            </w:r>
            <w:r>
              <w:t xml:space="preserve">wird als Indikator für fäkale Kontaminationen in Trink- und Rohwasser sowie bei Lebensmitteln eingesetzt. In 100 mL Trinkwasser darf </w:t>
            </w:r>
            <w:r>
              <w:rPr>
                <w:i/>
                <w:iCs/>
              </w:rPr>
              <w:t xml:space="preserve">E. coli </w:t>
            </w:r>
            <w:r>
              <w:t xml:space="preserve">nicht nachweisbar sein. Neben den nicht gesundheitsschädlichen Arten gibt es auch pathogene Formen von </w:t>
            </w:r>
            <w:r>
              <w:rPr>
                <w:i/>
                <w:iCs/>
              </w:rPr>
              <w:t>E. coli</w:t>
            </w:r>
            <w:r>
              <w:t xml:space="preserve">, die durch die Bildung von Zellgiften (z.B. Shigatoxin-produzierende </w:t>
            </w:r>
            <w:r>
              <w:rPr>
                <w:i/>
                <w:iCs/>
              </w:rPr>
              <w:t>E. coli</w:t>
            </w:r>
            <w:r>
              <w:t xml:space="preserve">, STEC) Durchfallerkrankungen auslösen können. Diese enterohämorrhagische </w:t>
            </w:r>
            <w:r>
              <w:rPr>
                <w:i/>
                <w:iCs/>
              </w:rPr>
              <w:t xml:space="preserve">E. coli </w:t>
            </w:r>
            <w:r>
              <w:t>(EHEC) sind unter anderem durch den Ausbruch des Stammes O104:H4 in Norddeutschland 2011 durch kontaminiertes Gemüse bekannt.</w:t>
            </w:r>
          </w:p>
          <w:p w:rsidR="00252659" w:rsidRDefault="00252659" w:rsidP="00C93065">
            <w:pPr>
              <w:pStyle w:val="Listenabsatz"/>
              <w:ind w:left="0"/>
              <w:jc w:val="both"/>
            </w:pPr>
            <w:r>
              <w:t>Größe ca. 2-6 × 1-1,5 µM (Stäbchen)</w:t>
            </w:r>
          </w:p>
        </w:tc>
        <w:tc>
          <w:tcPr>
            <w:tcW w:w="3510" w:type="dxa"/>
          </w:tcPr>
          <w:p w:rsidR="00C64645" w:rsidRDefault="00BF406E" w:rsidP="00B00E2F">
            <w:pPr>
              <w:pStyle w:val="Listenabsatz"/>
              <w:ind w:left="0"/>
            </w:pPr>
            <w:r>
              <w:rPr>
                <w:noProof/>
                <w:lang w:eastAsia="de-DE"/>
              </w:rPr>
              <w:drawing>
                <wp:inline distT="0" distB="0" distL="0" distR="0" wp14:anchorId="42F24E51" wp14:editId="64B35968">
                  <wp:extent cx="2160000" cy="1468057"/>
                  <wp:effectExtent l="0" t="0" r="0" b="0"/>
                  <wp:docPr id="10" name="Grafik 10" descr="Gramm, negative, Escherichia coli, Bakter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mm, negative, Escherichia coli, Bakteri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468057"/>
                          </a:xfrm>
                          <a:prstGeom prst="rect">
                            <a:avLst/>
                          </a:prstGeom>
                          <a:noFill/>
                          <a:ln>
                            <a:noFill/>
                          </a:ln>
                        </pic:spPr>
                      </pic:pic>
                    </a:graphicData>
                  </a:graphic>
                </wp:inline>
              </w:drawing>
            </w:r>
          </w:p>
          <w:p w:rsidR="00C64645" w:rsidRDefault="00C64645" w:rsidP="00C64645"/>
          <w:p w:rsidR="00C64645" w:rsidRDefault="00C64645" w:rsidP="00C64645"/>
          <w:p w:rsidR="00C64645" w:rsidRDefault="00C64645" w:rsidP="00C64645"/>
          <w:p w:rsidR="00C93065" w:rsidRPr="00C64645" w:rsidRDefault="00C93065" w:rsidP="00C64645"/>
        </w:tc>
      </w:tr>
      <w:tr w:rsidR="00C93065" w:rsidTr="00C64645">
        <w:tc>
          <w:tcPr>
            <w:tcW w:w="5812" w:type="dxa"/>
          </w:tcPr>
          <w:p w:rsidR="00C93065" w:rsidRDefault="00C93065" w:rsidP="00C93065">
            <w:pPr>
              <w:pStyle w:val="Listenabsatz"/>
              <w:ind w:left="0"/>
              <w:jc w:val="both"/>
            </w:pPr>
            <w:r w:rsidRPr="00C93065">
              <w:rPr>
                <w:b/>
                <w:bCs/>
                <w:i/>
                <w:iCs/>
              </w:rPr>
              <w:lastRenderedPageBreak/>
              <w:t>Enterokokken</w:t>
            </w:r>
            <w:r>
              <w:rPr>
                <w:b/>
                <w:bCs/>
                <w:i/>
                <w:iCs/>
              </w:rPr>
              <w:t xml:space="preserve"> </w:t>
            </w:r>
            <w:r>
              <w:t xml:space="preserve">kommen wie </w:t>
            </w:r>
            <w:r>
              <w:rPr>
                <w:i/>
                <w:iCs/>
              </w:rPr>
              <w:t xml:space="preserve">E. coli </w:t>
            </w:r>
            <w:r>
              <w:t xml:space="preserve">im Darm vor und können somit als Indikator für fäkale Verunreinigungen eingesetzt werden. Im Vergleich mit </w:t>
            </w:r>
            <w:r>
              <w:rPr>
                <w:i/>
                <w:iCs/>
              </w:rPr>
              <w:t xml:space="preserve">E. coli </w:t>
            </w:r>
            <w:r>
              <w:t xml:space="preserve">ist die Konzentration von Enterokokken meist eine Log-Stufe niedriger, allerdings sind sie resistenter gegenüber Chlor und lassen sich über einen längeren Zeitraum nachweisen. So lässt sich durch einen Nachweis von Enterokokken auf fäkale Einträge schließen, die eine längere Zeitspanne zurück liegen. Enterokokken dürfen in 100 mL Trinkwasser nicht nachweisbar sein. Enterokokken spielen ebenfalls eine Rolle bei Infektionen in Krankenhäusern – auch mit Mehrfach-Resistenzen gegen Antibiotika. Die wichtigsten Vertreter der Gattung Enterokokken sind die Bakterienarten </w:t>
            </w:r>
            <w:r>
              <w:rPr>
                <w:i/>
                <w:iCs/>
              </w:rPr>
              <w:t xml:space="preserve">Enterococcus faecalis </w:t>
            </w:r>
            <w:r>
              <w:t>(</w:t>
            </w:r>
            <w:r>
              <w:rPr>
                <w:i/>
                <w:iCs/>
              </w:rPr>
              <w:t>E. faecalis</w:t>
            </w:r>
            <w:r>
              <w:t xml:space="preserve">) und </w:t>
            </w:r>
            <w:r>
              <w:rPr>
                <w:i/>
                <w:iCs/>
              </w:rPr>
              <w:t>Enterococcus faecium</w:t>
            </w:r>
            <w:r>
              <w:t>.</w:t>
            </w:r>
          </w:p>
          <w:p w:rsidR="00252659" w:rsidRPr="00540E94" w:rsidRDefault="00252659" w:rsidP="00252659">
            <w:pPr>
              <w:pStyle w:val="Listenabsatz"/>
              <w:ind w:left="0"/>
              <w:jc w:val="both"/>
              <w:rPr>
                <w:b/>
              </w:rPr>
            </w:pPr>
            <w:r>
              <w:t>Größe ca. 0,6 – 2 µM (Kokken).</w:t>
            </w:r>
          </w:p>
        </w:tc>
        <w:tc>
          <w:tcPr>
            <w:tcW w:w="3510" w:type="dxa"/>
          </w:tcPr>
          <w:p w:rsidR="00C93065" w:rsidRDefault="00BF406E" w:rsidP="00B00E2F">
            <w:pPr>
              <w:pStyle w:val="Listenabsatz"/>
              <w:ind w:left="0"/>
            </w:pPr>
            <w:r>
              <w:rPr>
                <w:noProof/>
                <w:lang w:eastAsia="de-DE"/>
              </w:rPr>
              <w:drawing>
                <wp:inline distT="0" distB="0" distL="0" distR="0" wp14:anchorId="557F6949" wp14:editId="13F6F68E">
                  <wp:extent cx="2160000" cy="1696710"/>
                  <wp:effectExtent l="0" t="0" r="0" b="0"/>
                  <wp:docPr id="12" name="Grafik 12" descr="enterococci, leading, nosocomial, bacteremia, surgical, wound, infection, urinary, tract,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terococci, leading, nosocomial, bacteremia, surgical, wound, infection, urinary, tract, infec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1696710"/>
                          </a:xfrm>
                          <a:prstGeom prst="rect">
                            <a:avLst/>
                          </a:prstGeom>
                          <a:noFill/>
                          <a:ln>
                            <a:noFill/>
                          </a:ln>
                        </pic:spPr>
                      </pic:pic>
                    </a:graphicData>
                  </a:graphic>
                </wp:inline>
              </w:drawing>
            </w:r>
          </w:p>
        </w:tc>
      </w:tr>
      <w:tr w:rsidR="00C93065" w:rsidTr="00C64645">
        <w:tc>
          <w:tcPr>
            <w:tcW w:w="5812" w:type="dxa"/>
          </w:tcPr>
          <w:p w:rsidR="00C93065" w:rsidRDefault="00C93065" w:rsidP="00C93065">
            <w:pPr>
              <w:jc w:val="both"/>
            </w:pPr>
            <w:r w:rsidRPr="00C93065">
              <w:rPr>
                <w:b/>
                <w:i/>
              </w:rPr>
              <w:t>Pseudomonas aeruginosa</w:t>
            </w:r>
            <w:r>
              <w:t xml:space="preserve"> (</w:t>
            </w:r>
            <w:r w:rsidRPr="00C93065">
              <w:rPr>
                <w:i/>
              </w:rPr>
              <w:t>P. aeruginosa</w:t>
            </w:r>
            <w:r>
              <w:t xml:space="preserve">) kommt vor allem in Biofilmen, feuchten Oberflächen sowie in gering gechlorten Schwimmbädern, Pools und Oberflächengewässern vor. Die direkte Konzentration im Trinkwasser ist dagegen sehr gering, allerdings kann sich das Bakterium in Rohrleitungen, Wasserzählern und Armaturen ansiedeln und ist dort nur schwer – z.B. nur durch langanhaltende Chlorung - zu entfernen. In der Trinkwasserverordnung ist ein Grenzwert für </w:t>
            </w:r>
            <w:r w:rsidRPr="00C93065">
              <w:rPr>
                <w:i/>
              </w:rPr>
              <w:t>P. aeruginosa</w:t>
            </w:r>
            <w:r>
              <w:t xml:space="preserve"> lediglich für abgefülltes Trinkwasser aufgeführt (Keine in 250 mL). Die Fähigkeit, bei geringem Nährstoffangebot wachsen zu können und mögliche multiple Resistenz gegen Antibiotika macht </w:t>
            </w:r>
            <w:r w:rsidRPr="00C93065">
              <w:rPr>
                <w:i/>
              </w:rPr>
              <w:t>P. aeruginosa</w:t>
            </w:r>
            <w:r>
              <w:t xml:space="preserve"> zu einem der wichtigsten Krankenhauskeime. Die Bakterien können für Lungenentzündungen, Meningitis und Infektionen von Wunden sowie des Urinal- und Gastrointestinaltraktes verantwortlich sein.</w:t>
            </w:r>
          </w:p>
          <w:p w:rsidR="00252659" w:rsidRDefault="00252659" w:rsidP="001259B6">
            <w:pPr>
              <w:jc w:val="both"/>
            </w:pPr>
            <w:r>
              <w:t xml:space="preserve">Größe ca. </w:t>
            </w:r>
            <w:r w:rsidR="001259B6" w:rsidRPr="001259B6">
              <w:t xml:space="preserve">0,5–1,0 × 1,5–5,0 µm. </w:t>
            </w:r>
            <w:r>
              <w:t>µM (</w:t>
            </w:r>
            <w:r w:rsidR="001259B6">
              <w:t>Stäbchen</w:t>
            </w:r>
            <w:r>
              <w:t>).</w:t>
            </w:r>
          </w:p>
        </w:tc>
        <w:tc>
          <w:tcPr>
            <w:tcW w:w="3510" w:type="dxa"/>
          </w:tcPr>
          <w:p w:rsidR="00C93065" w:rsidRDefault="00BF406E" w:rsidP="00B00E2F">
            <w:pPr>
              <w:pStyle w:val="Listenabsatz"/>
              <w:ind w:left="0"/>
            </w:pPr>
            <w:r>
              <w:rPr>
                <w:noProof/>
                <w:lang w:eastAsia="de-DE"/>
              </w:rPr>
              <w:drawing>
                <wp:inline distT="0" distB="0" distL="0" distR="0" wp14:anchorId="63A03445" wp14:editId="14021702">
                  <wp:extent cx="2160000" cy="1516110"/>
                  <wp:effectExtent l="0" t="0" r="0" b="8255"/>
                  <wp:docPr id="11" name="Grafik 11" descr="scanning, electron micrograph, pseudomonas, aeruginosa, 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ning, electron micrograph, pseudomonas, aeruginosa, bacter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1516110"/>
                          </a:xfrm>
                          <a:prstGeom prst="rect">
                            <a:avLst/>
                          </a:prstGeom>
                          <a:noFill/>
                          <a:ln>
                            <a:noFill/>
                          </a:ln>
                        </pic:spPr>
                      </pic:pic>
                    </a:graphicData>
                  </a:graphic>
                </wp:inline>
              </w:drawing>
            </w:r>
          </w:p>
        </w:tc>
      </w:tr>
    </w:tbl>
    <w:p w:rsidR="0039293C" w:rsidRDefault="0039293C"/>
    <w:p w:rsidR="00FB58D1" w:rsidRDefault="00FB58D1">
      <w:r>
        <w:br w:type="page"/>
      </w:r>
    </w:p>
    <w:p w:rsidR="00957E6A" w:rsidRDefault="00FB58D1" w:rsidP="00957E6A">
      <w:pPr>
        <w:pStyle w:val="Listenabsatz"/>
        <w:numPr>
          <w:ilvl w:val="0"/>
          <w:numId w:val="2"/>
        </w:numPr>
      </w:pPr>
      <w:r>
        <w:lastRenderedPageBreak/>
        <w:t>Wissenschaftler bei der Arbeit. Probenentnahme im Freiland und Analyse im Labor.</w:t>
      </w:r>
    </w:p>
    <w:tbl>
      <w:tblPr>
        <w:tblStyle w:val="Tabellenraster"/>
        <w:tblW w:w="0" w:type="auto"/>
        <w:tblLook w:val="04A0" w:firstRow="1" w:lastRow="0" w:firstColumn="1" w:lastColumn="0" w:noHBand="0" w:noVBand="1"/>
      </w:tblPr>
      <w:tblGrid>
        <w:gridCol w:w="3937"/>
        <w:gridCol w:w="5125"/>
      </w:tblGrid>
      <w:tr w:rsidR="00126F71" w:rsidTr="00252659">
        <w:tc>
          <w:tcPr>
            <w:tcW w:w="4152" w:type="dxa"/>
          </w:tcPr>
          <w:p w:rsidR="00252659" w:rsidRDefault="00252659" w:rsidP="00252659">
            <w:r>
              <w:t>Probenahme von Oberflächenwasser (Rhein).</w:t>
            </w:r>
          </w:p>
        </w:tc>
        <w:tc>
          <w:tcPr>
            <w:tcW w:w="5136" w:type="dxa"/>
          </w:tcPr>
          <w:p w:rsidR="00252659" w:rsidRDefault="00252659" w:rsidP="00252659">
            <w:r>
              <w:rPr>
                <w:noProof/>
                <w:lang w:eastAsia="de-DE"/>
              </w:rPr>
              <w:drawing>
                <wp:inline distT="0" distB="0" distL="0" distR="0" wp14:anchorId="156EF96B" wp14:editId="5D632AE7">
                  <wp:extent cx="3060000" cy="2296013"/>
                  <wp:effectExtent l="0" t="0" r="7620" b="9525"/>
                  <wp:docPr id="14" name="Grafik 14" descr="J:\Bilder\Konzentrierung V3\Rhein\IMG_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Bilder\Konzentrierung V3\Rhein\IMG_14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2296013"/>
                          </a:xfrm>
                          <a:prstGeom prst="rect">
                            <a:avLst/>
                          </a:prstGeom>
                          <a:noFill/>
                          <a:ln>
                            <a:noFill/>
                          </a:ln>
                        </pic:spPr>
                      </pic:pic>
                    </a:graphicData>
                  </a:graphic>
                </wp:inline>
              </w:drawing>
            </w:r>
          </w:p>
        </w:tc>
      </w:tr>
      <w:tr w:rsidR="00126F71" w:rsidTr="00252659">
        <w:tc>
          <w:tcPr>
            <w:tcW w:w="4152" w:type="dxa"/>
          </w:tcPr>
          <w:p w:rsidR="00252659" w:rsidRDefault="00252659" w:rsidP="00252659">
            <w:r>
              <w:t>Probenahme aus der Leitung (Teststrecke Berlin).</w:t>
            </w:r>
          </w:p>
        </w:tc>
        <w:tc>
          <w:tcPr>
            <w:tcW w:w="5136" w:type="dxa"/>
          </w:tcPr>
          <w:p w:rsidR="00252659" w:rsidRDefault="00252659" w:rsidP="00252659">
            <w:r>
              <w:rPr>
                <w:noProof/>
                <w:lang w:eastAsia="de-DE"/>
              </w:rPr>
              <w:drawing>
                <wp:inline distT="0" distB="0" distL="0" distR="0" wp14:anchorId="4071C020" wp14:editId="66E46E27">
                  <wp:extent cx="3060000" cy="2296013"/>
                  <wp:effectExtent l="0" t="0" r="7620" b="9525"/>
                  <wp:docPr id="13" name="Grafik 13" descr="J:\Fotos\flickr_berlin-wasser_72157668050953103\gopr9184_281908817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Fotos\flickr_berlin-wasser_72157668050953103\gopr9184_28190881726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000" cy="2296013"/>
                          </a:xfrm>
                          <a:prstGeom prst="rect">
                            <a:avLst/>
                          </a:prstGeom>
                          <a:noFill/>
                          <a:ln>
                            <a:noFill/>
                          </a:ln>
                        </pic:spPr>
                      </pic:pic>
                    </a:graphicData>
                  </a:graphic>
                </wp:inline>
              </w:drawing>
            </w:r>
          </w:p>
        </w:tc>
      </w:tr>
      <w:tr w:rsidR="00126F71" w:rsidTr="00252659">
        <w:tc>
          <w:tcPr>
            <w:tcW w:w="4152" w:type="dxa"/>
          </w:tcPr>
          <w:p w:rsidR="00252659" w:rsidRDefault="00252659" w:rsidP="00252659">
            <w:r>
              <w:t xml:space="preserve">Probenahme im </w:t>
            </w:r>
            <w:r w:rsidRPr="00252659">
              <w:t>Tài Hú</w:t>
            </w:r>
            <w:r>
              <w:t>, China.</w:t>
            </w:r>
          </w:p>
        </w:tc>
        <w:tc>
          <w:tcPr>
            <w:tcW w:w="5136" w:type="dxa"/>
          </w:tcPr>
          <w:p w:rsidR="00252659" w:rsidRDefault="00252659" w:rsidP="00252659">
            <w:r>
              <w:rPr>
                <w:noProof/>
                <w:lang w:eastAsia="de-DE"/>
              </w:rPr>
              <w:drawing>
                <wp:inline distT="0" distB="0" distL="0" distR="0" wp14:anchorId="6462C8E6" wp14:editId="3CC20DA0">
                  <wp:extent cx="3060000" cy="2328732"/>
                  <wp:effectExtent l="0" t="0" r="762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02D16.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2328732"/>
                          </a:xfrm>
                          <a:prstGeom prst="rect">
                            <a:avLst/>
                          </a:prstGeom>
                        </pic:spPr>
                      </pic:pic>
                    </a:graphicData>
                  </a:graphic>
                </wp:inline>
              </w:drawing>
            </w:r>
          </w:p>
        </w:tc>
      </w:tr>
      <w:tr w:rsidR="00126F71" w:rsidTr="00252659">
        <w:tc>
          <w:tcPr>
            <w:tcW w:w="4152" w:type="dxa"/>
          </w:tcPr>
          <w:p w:rsidR="00252659" w:rsidRDefault="00252659" w:rsidP="00252659">
            <w:r>
              <w:lastRenderedPageBreak/>
              <w:t>Versuchsaufbau zur Konzentrierung von Viren mit Glaswolle.</w:t>
            </w:r>
          </w:p>
        </w:tc>
        <w:tc>
          <w:tcPr>
            <w:tcW w:w="5136" w:type="dxa"/>
          </w:tcPr>
          <w:p w:rsidR="00252659" w:rsidRDefault="00252659" w:rsidP="00252659">
            <w:r>
              <w:rPr>
                <w:noProof/>
                <w:lang w:eastAsia="de-DE"/>
              </w:rPr>
              <w:drawing>
                <wp:inline distT="0" distB="0" distL="0" distR="0" wp14:anchorId="7B918671" wp14:editId="18DF9CA8">
                  <wp:extent cx="3060000" cy="2042760"/>
                  <wp:effectExtent l="0" t="0" r="7620" b="0"/>
                  <wp:docPr id="16" name="Grafik 16" descr="J:\Fotos\Australien\IMG_8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Fotos\Australien\IMG_816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000" cy="2042760"/>
                          </a:xfrm>
                          <a:prstGeom prst="rect">
                            <a:avLst/>
                          </a:prstGeom>
                          <a:noFill/>
                          <a:ln>
                            <a:noFill/>
                          </a:ln>
                        </pic:spPr>
                      </pic:pic>
                    </a:graphicData>
                  </a:graphic>
                </wp:inline>
              </w:drawing>
            </w:r>
          </w:p>
        </w:tc>
      </w:tr>
      <w:tr w:rsidR="00126F71" w:rsidTr="00252659">
        <w:tc>
          <w:tcPr>
            <w:tcW w:w="4152" w:type="dxa"/>
          </w:tcPr>
          <w:p w:rsidR="00126F71" w:rsidRDefault="00657784" w:rsidP="00252659">
            <w:r>
              <w:t>System zur Konzentrierung von Wasserproben auf Filtern (0,2 µm Porengröße).</w:t>
            </w:r>
          </w:p>
        </w:tc>
        <w:tc>
          <w:tcPr>
            <w:tcW w:w="5136" w:type="dxa"/>
          </w:tcPr>
          <w:p w:rsidR="00126F71" w:rsidRDefault="00126F71" w:rsidP="00252659">
            <w:pPr>
              <w:rPr>
                <w:noProof/>
                <w:lang w:val="en-US" w:eastAsia="zh-CN"/>
              </w:rPr>
            </w:pPr>
            <w:r>
              <w:rPr>
                <w:noProof/>
                <w:lang w:eastAsia="de-DE"/>
              </w:rPr>
              <w:drawing>
                <wp:inline distT="0" distB="0" distL="0" distR="0">
                  <wp:extent cx="3060000" cy="2220456"/>
                  <wp:effectExtent l="0" t="0" r="762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6DF4.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0000" cy="2220456"/>
                          </a:xfrm>
                          <a:prstGeom prst="rect">
                            <a:avLst/>
                          </a:prstGeom>
                        </pic:spPr>
                      </pic:pic>
                    </a:graphicData>
                  </a:graphic>
                </wp:inline>
              </w:drawing>
            </w:r>
          </w:p>
        </w:tc>
      </w:tr>
      <w:tr w:rsidR="00126F71" w:rsidTr="00252659">
        <w:tc>
          <w:tcPr>
            <w:tcW w:w="4152" w:type="dxa"/>
          </w:tcPr>
          <w:p w:rsidR="00126F71" w:rsidRDefault="00657784" w:rsidP="00252659">
            <w:r>
              <w:t>Auftragen eines Filters auf eine Petrischale mit Nährboden.</w:t>
            </w:r>
          </w:p>
        </w:tc>
        <w:tc>
          <w:tcPr>
            <w:tcW w:w="5136" w:type="dxa"/>
          </w:tcPr>
          <w:p w:rsidR="00126F71" w:rsidRDefault="00126F71" w:rsidP="00252659">
            <w:pPr>
              <w:rPr>
                <w:noProof/>
                <w:lang w:val="en-US" w:eastAsia="zh-CN"/>
              </w:rPr>
            </w:pPr>
            <w:r>
              <w:rPr>
                <w:noProof/>
                <w:lang w:eastAsia="de-DE"/>
              </w:rPr>
              <w:drawing>
                <wp:inline distT="0" distB="0" distL="0" distR="0">
                  <wp:extent cx="3060000" cy="2629263"/>
                  <wp:effectExtent l="0" t="0" r="762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E1EC.tmp"/>
                          <pic:cNvPicPr/>
                        </pic:nvPicPr>
                        <pic:blipFill>
                          <a:blip r:embed="rId26">
                            <a:extLst>
                              <a:ext uri="{28A0092B-C50C-407E-A947-70E740481C1C}">
                                <a14:useLocalDpi xmlns:a14="http://schemas.microsoft.com/office/drawing/2010/main" val="0"/>
                              </a:ext>
                            </a:extLst>
                          </a:blip>
                          <a:stretch>
                            <a:fillRect/>
                          </a:stretch>
                        </pic:blipFill>
                        <pic:spPr>
                          <a:xfrm>
                            <a:off x="0" y="0"/>
                            <a:ext cx="3060000" cy="2629263"/>
                          </a:xfrm>
                          <a:prstGeom prst="rect">
                            <a:avLst/>
                          </a:prstGeom>
                        </pic:spPr>
                      </pic:pic>
                    </a:graphicData>
                  </a:graphic>
                </wp:inline>
              </w:drawing>
            </w:r>
          </w:p>
        </w:tc>
      </w:tr>
      <w:tr w:rsidR="00126F71" w:rsidTr="00252659">
        <w:tc>
          <w:tcPr>
            <w:tcW w:w="4152" w:type="dxa"/>
          </w:tcPr>
          <w:p w:rsidR="00126F71" w:rsidRDefault="00657784" w:rsidP="00252659">
            <w:r>
              <w:lastRenderedPageBreak/>
              <w:t xml:space="preserve">Bebrütete Platte mit </w:t>
            </w:r>
            <w:r w:rsidRPr="00657784">
              <w:rPr>
                <w:i/>
              </w:rPr>
              <w:t>Pseudomonas aeruginosa</w:t>
            </w:r>
            <w:r>
              <w:t xml:space="preserve"> Bakterien. Diese leuchten unter UV-Licht.</w:t>
            </w:r>
          </w:p>
        </w:tc>
        <w:tc>
          <w:tcPr>
            <w:tcW w:w="5136" w:type="dxa"/>
          </w:tcPr>
          <w:p w:rsidR="00126F71" w:rsidRDefault="008658CE" w:rsidP="00252659">
            <w:pPr>
              <w:rPr>
                <w:noProof/>
                <w:lang w:val="en-US" w:eastAsia="zh-CN"/>
              </w:rPr>
            </w:pPr>
            <w:r>
              <w:rPr>
                <w:noProof/>
                <w:lang w:eastAsia="de-DE"/>
              </w:rPr>
              <w:drawing>
                <wp:inline distT="0" distB="0" distL="0" distR="0">
                  <wp:extent cx="3060000" cy="2805657"/>
                  <wp:effectExtent l="0" t="0" r="762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6791.tmp"/>
                          <pic:cNvPicPr/>
                        </pic:nvPicPr>
                        <pic:blipFill>
                          <a:blip r:embed="rId27">
                            <a:extLst>
                              <a:ext uri="{28A0092B-C50C-407E-A947-70E740481C1C}">
                                <a14:useLocalDpi xmlns:a14="http://schemas.microsoft.com/office/drawing/2010/main" val="0"/>
                              </a:ext>
                            </a:extLst>
                          </a:blip>
                          <a:stretch>
                            <a:fillRect/>
                          </a:stretch>
                        </pic:blipFill>
                        <pic:spPr>
                          <a:xfrm>
                            <a:off x="0" y="0"/>
                            <a:ext cx="3060000" cy="2805657"/>
                          </a:xfrm>
                          <a:prstGeom prst="rect">
                            <a:avLst/>
                          </a:prstGeom>
                        </pic:spPr>
                      </pic:pic>
                    </a:graphicData>
                  </a:graphic>
                </wp:inline>
              </w:drawing>
            </w:r>
          </w:p>
        </w:tc>
      </w:tr>
      <w:tr w:rsidR="00126F71" w:rsidTr="00252659">
        <w:tc>
          <w:tcPr>
            <w:tcW w:w="4152" w:type="dxa"/>
          </w:tcPr>
          <w:p w:rsidR="00126F71" w:rsidRDefault="00657784" w:rsidP="00252659">
            <w:r>
              <w:t>Viren-Nachweis im Kulturverfahren. Durch die Infektion der Viren entstehen im Bakterienrasen auf de</w:t>
            </w:r>
            <w:r w:rsidR="00C64645">
              <w:t>r Platte Löcher (s.g. Plaques).</w:t>
            </w:r>
          </w:p>
        </w:tc>
        <w:tc>
          <w:tcPr>
            <w:tcW w:w="5136" w:type="dxa"/>
          </w:tcPr>
          <w:p w:rsidR="00126F71" w:rsidRDefault="00126F71" w:rsidP="00252659">
            <w:pPr>
              <w:rPr>
                <w:noProof/>
                <w:lang w:val="en-US" w:eastAsia="zh-CN"/>
              </w:rPr>
            </w:pPr>
            <w:r>
              <w:rPr>
                <w:noProof/>
                <w:lang w:eastAsia="de-DE"/>
              </w:rPr>
              <w:drawing>
                <wp:inline distT="0" distB="0" distL="0" distR="0">
                  <wp:extent cx="3060000" cy="2329651"/>
                  <wp:effectExtent l="0" t="0" r="762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B458.tmp"/>
                          <pic:cNvPicPr/>
                        </pic:nvPicPr>
                        <pic:blipFill>
                          <a:blip r:embed="rId28">
                            <a:extLst>
                              <a:ext uri="{28A0092B-C50C-407E-A947-70E740481C1C}">
                                <a14:useLocalDpi xmlns:a14="http://schemas.microsoft.com/office/drawing/2010/main" val="0"/>
                              </a:ext>
                            </a:extLst>
                          </a:blip>
                          <a:stretch>
                            <a:fillRect/>
                          </a:stretch>
                        </pic:blipFill>
                        <pic:spPr>
                          <a:xfrm>
                            <a:off x="0" y="0"/>
                            <a:ext cx="3060000" cy="2329651"/>
                          </a:xfrm>
                          <a:prstGeom prst="rect">
                            <a:avLst/>
                          </a:prstGeom>
                        </pic:spPr>
                      </pic:pic>
                    </a:graphicData>
                  </a:graphic>
                </wp:inline>
              </w:drawing>
            </w:r>
          </w:p>
        </w:tc>
      </w:tr>
      <w:tr w:rsidR="00126F71" w:rsidTr="00252659">
        <w:tc>
          <w:tcPr>
            <w:tcW w:w="4152" w:type="dxa"/>
          </w:tcPr>
          <w:p w:rsidR="00252659" w:rsidRDefault="00252659" w:rsidP="00252659">
            <w:r>
              <w:t>Säulenversuch mit Bodenproben zum Schadstoffabbau.</w:t>
            </w:r>
          </w:p>
        </w:tc>
        <w:tc>
          <w:tcPr>
            <w:tcW w:w="5136" w:type="dxa"/>
          </w:tcPr>
          <w:p w:rsidR="00252659" w:rsidRDefault="00252659" w:rsidP="00252659">
            <w:r>
              <w:rPr>
                <w:noProof/>
                <w:lang w:eastAsia="de-DE"/>
              </w:rPr>
              <w:drawing>
                <wp:inline distT="0" distB="0" distL="0" distR="0" wp14:anchorId="55899965" wp14:editId="1ACE92A8">
                  <wp:extent cx="3060000" cy="2223492"/>
                  <wp:effectExtent l="0" t="0" r="7620" b="571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056C6.tmp"/>
                          <pic:cNvPicPr/>
                        </pic:nvPicPr>
                        <pic:blipFill>
                          <a:blip r:embed="rId29">
                            <a:extLst>
                              <a:ext uri="{28A0092B-C50C-407E-A947-70E740481C1C}">
                                <a14:useLocalDpi xmlns:a14="http://schemas.microsoft.com/office/drawing/2010/main" val="0"/>
                              </a:ext>
                            </a:extLst>
                          </a:blip>
                          <a:stretch>
                            <a:fillRect/>
                          </a:stretch>
                        </pic:blipFill>
                        <pic:spPr>
                          <a:xfrm>
                            <a:off x="0" y="0"/>
                            <a:ext cx="3060000" cy="2223492"/>
                          </a:xfrm>
                          <a:prstGeom prst="rect">
                            <a:avLst/>
                          </a:prstGeom>
                        </pic:spPr>
                      </pic:pic>
                    </a:graphicData>
                  </a:graphic>
                </wp:inline>
              </w:drawing>
            </w:r>
          </w:p>
        </w:tc>
      </w:tr>
      <w:tr w:rsidR="00126F71" w:rsidTr="00252659">
        <w:tc>
          <w:tcPr>
            <w:tcW w:w="4152" w:type="dxa"/>
          </w:tcPr>
          <w:p w:rsidR="00252659" w:rsidRDefault="00252659" w:rsidP="00252659">
            <w:r>
              <w:lastRenderedPageBreak/>
              <w:t>Säulenversuch mit Bodenproben zum Schadstoffabbau.</w:t>
            </w:r>
          </w:p>
        </w:tc>
        <w:tc>
          <w:tcPr>
            <w:tcW w:w="5136" w:type="dxa"/>
          </w:tcPr>
          <w:p w:rsidR="00252659" w:rsidRDefault="00252659" w:rsidP="00252659">
            <w:r>
              <w:rPr>
                <w:noProof/>
                <w:lang w:eastAsia="de-DE"/>
              </w:rPr>
              <w:drawing>
                <wp:inline distT="0" distB="0" distL="0" distR="0" wp14:anchorId="01DCFE24" wp14:editId="160E6D05">
                  <wp:extent cx="3060000" cy="2292638"/>
                  <wp:effectExtent l="0" t="0" r="762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0AC46.tmp"/>
                          <pic:cNvPicPr/>
                        </pic:nvPicPr>
                        <pic:blipFill>
                          <a:blip r:embed="rId30">
                            <a:extLst>
                              <a:ext uri="{28A0092B-C50C-407E-A947-70E740481C1C}">
                                <a14:useLocalDpi xmlns:a14="http://schemas.microsoft.com/office/drawing/2010/main" val="0"/>
                              </a:ext>
                            </a:extLst>
                          </a:blip>
                          <a:stretch>
                            <a:fillRect/>
                          </a:stretch>
                        </pic:blipFill>
                        <pic:spPr>
                          <a:xfrm>
                            <a:off x="0" y="0"/>
                            <a:ext cx="3060000" cy="2292638"/>
                          </a:xfrm>
                          <a:prstGeom prst="rect">
                            <a:avLst/>
                          </a:prstGeom>
                        </pic:spPr>
                      </pic:pic>
                    </a:graphicData>
                  </a:graphic>
                </wp:inline>
              </w:drawing>
            </w:r>
          </w:p>
        </w:tc>
      </w:tr>
      <w:tr w:rsidR="00126F71" w:rsidTr="00252659">
        <w:tc>
          <w:tcPr>
            <w:tcW w:w="4152" w:type="dxa"/>
          </w:tcPr>
          <w:p w:rsidR="00252659" w:rsidRDefault="00252659" w:rsidP="00252659">
            <w:r>
              <w:t>Anaerobbox zur Beprobung von sauerstoffempfindlichen Proben.</w:t>
            </w:r>
          </w:p>
        </w:tc>
        <w:tc>
          <w:tcPr>
            <w:tcW w:w="5136" w:type="dxa"/>
          </w:tcPr>
          <w:p w:rsidR="00252659" w:rsidRDefault="00252659" w:rsidP="00252659">
            <w:r>
              <w:rPr>
                <w:noProof/>
                <w:lang w:eastAsia="de-DE"/>
              </w:rPr>
              <w:drawing>
                <wp:inline distT="0" distB="0" distL="0" distR="0" wp14:anchorId="4279064D" wp14:editId="37F38C45">
                  <wp:extent cx="3060000" cy="2151644"/>
                  <wp:effectExtent l="0" t="0" r="7620" b="127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0CAFD.tmp"/>
                          <pic:cNvPicPr/>
                        </pic:nvPicPr>
                        <pic:blipFill>
                          <a:blip r:embed="rId31">
                            <a:extLst>
                              <a:ext uri="{28A0092B-C50C-407E-A947-70E740481C1C}">
                                <a14:useLocalDpi xmlns:a14="http://schemas.microsoft.com/office/drawing/2010/main" val="0"/>
                              </a:ext>
                            </a:extLst>
                          </a:blip>
                          <a:stretch>
                            <a:fillRect/>
                          </a:stretch>
                        </pic:blipFill>
                        <pic:spPr>
                          <a:xfrm>
                            <a:off x="0" y="0"/>
                            <a:ext cx="3060000" cy="2151644"/>
                          </a:xfrm>
                          <a:prstGeom prst="rect">
                            <a:avLst/>
                          </a:prstGeom>
                        </pic:spPr>
                      </pic:pic>
                    </a:graphicData>
                  </a:graphic>
                </wp:inline>
              </w:drawing>
            </w:r>
          </w:p>
        </w:tc>
      </w:tr>
    </w:tbl>
    <w:p w:rsidR="007F45EB" w:rsidRPr="00BA78FA" w:rsidRDefault="007F45EB" w:rsidP="007F45EB">
      <w:pPr>
        <w:tabs>
          <w:tab w:val="left" w:pos="2410"/>
        </w:tabs>
      </w:pPr>
    </w:p>
    <w:sectPr w:rsidR="007F45EB" w:rsidRPr="00BA78FA">
      <w:headerReference w:type="default" r:id="rId3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22F" w:rsidRDefault="0053022F" w:rsidP="002C6377">
      <w:pPr>
        <w:spacing w:after="0" w:line="240" w:lineRule="auto"/>
      </w:pPr>
      <w:r>
        <w:separator/>
      </w:r>
    </w:p>
  </w:endnote>
  <w:endnote w:type="continuationSeparator" w:id="0">
    <w:p w:rsidR="0053022F" w:rsidRDefault="0053022F" w:rsidP="002C6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22F" w:rsidRDefault="0053022F" w:rsidP="002C6377">
      <w:pPr>
        <w:spacing w:after="0" w:line="240" w:lineRule="auto"/>
      </w:pPr>
      <w:r>
        <w:separator/>
      </w:r>
    </w:p>
  </w:footnote>
  <w:footnote w:type="continuationSeparator" w:id="0">
    <w:p w:rsidR="0053022F" w:rsidRDefault="0053022F" w:rsidP="002C63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377" w:rsidRPr="005C6DE8" w:rsidRDefault="002C6377" w:rsidP="002C6377">
    <w:r>
      <w:rPr>
        <w:noProof/>
        <w:lang w:eastAsia="de-DE"/>
      </w:rPr>
      <w:drawing>
        <wp:anchor distT="0" distB="0" distL="114300" distR="114300" simplePos="0" relativeHeight="251659264" behindDoc="0" locked="0" layoutInCell="1" allowOverlap="1" wp14:anchorId="4887D7BC" wp14:editId="1E6C2BA1">
          <wp:simplePos x="0" y="0"/>
          <wp:positionH relativeFrom="column">
            <wp:posOffset>-90170</wp:posOffset>
          </wp:positionH>
          <wp:positionV relativeFrom="paragraph">
            <wp:posOffset>-49530</wp:posOffset>
          </wp:positionV>
          <wp:extent cx="1343025" cy="763270"/>
          <wp:effectExtent l="0" t="0" r="9525"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3025" cy="763270"/>
                  </a:xfrm>
                  <a:prstGeom prst="rect">
                    <a:avLst/>
                  </a:prstGeom>
                </pic:spPr>
              </pic:pic>
            </a:graphicData>
          </a:graphic>
          <wp14:sizeRelH relativeFrom="page">
            <wp14:pctWidth>0</wp14:pctWidth>
          </wp14:sizeRelH>
          <wp14:sizeRelV relativeFrom="page">
            <wp14:pctHeight>0</wp14:pctHeight>
          </wp14:sizeRelV>
        </wp:anchor>
      </w:drawing>
    </w:r>
    <w:r w:rsidRPr="005C6DE8">
      <w:t>Das TrinkWave Projekt hat das Ziel aus Abwasser, durch moderne Technik, wieder Trinkwasser zu machen. Die verschiedenen Informationsblätter erklären die Techniken, die dafür notwendig sind.</w:t>
    </w:r>
  </w:p>
  <w:p w:rsidR="002C6377" w:rsidRDefault="002C6377" w:rsidP="002C6377">
    <w:pPr>
      <w:pStyle w:val="Kopfzeile"/>
    </w:pPr>
  </w:p>
  <w:p w:rsidR="002C6377" w:rsidRDefault="002C637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0E53B4"/>
    <w:multiLevelType w:val="hybridMultilevel"/>
    <w:tmpl w:val="E7321852"/>
    <w:lvl w:ilvl="0" w:tplc="39141A4A">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545915F1"/>
    <w:multiLevelType w:val="hybridMultilevel"/>
    <w:tmpl w:val="E084AB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9686D59"/>
    <w:multiLevelType w:val="hybridMultilevel"/>
    <w:tmpl w:val="41A0FEDE"/>
    <w:lvl w:ilvl="0" w:tplc="B3CE744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7E210045"/>
    <w:multiLevelType w:val="hybridMultilevel"/>
    <w:tmpl w:val="EEC8274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8FA"/>
    <w:rsid w:val="000B482F"/>
    <w:rsid w:val="000E2549"/>
    <w:rsid w:val="001259B6"/>
    <w:rsid w:val="00126F71"/>
    <w:rsid w:val="001320EA"/>
    <w:rsid w:val="00143BA1"/>
    <w:rsid w:val="001837E9"/>
    <w:rsid w:val="00226A47"/>
    <w:rsid w:val="00252659"/>
    <w:rsid w:val="002C6377"/>
    <w:rsid w:val="00327FFD"/>
    <w:rsid w:val="00342CE9"/>
    <w:rsid w:val="00370096"/>
    <w:rsid w:val="0039293C"/>
    <w:rsid w:val="0053022F"/>
    <w:rsid w:val="00540E94"/>
    <w:rsid w:val="005A4C3D"/>
    <w:rsid w:val="005E60B8"/>
    <w:rsid w:val="00657784"/>
    <w:rsid w:val="00663F50"/>
    <w:rsid w:val="007B1DAB"/>
    <w:rsid w:val="007B6BFB"/>
    <w:rsid w:val="007F45EB"/>
    <w:rsid w:val="008658CE"/>
    <w:rsid w:val="00957E6A"/>
    <w:rsid w:val="009B4388"/>
    <w:rsid w:val="009D10D8"/>
    <w:rsid w:val="00A47D68"/>
    <w:rsid w:val="00A603F1"/>
    <w:rsid w:val="00A92C7B"/>
    <w:rsid w:val="00B710B6"/>
    <w:rsid w:val="00B7620C"/>
    <w:rsid w:val="00BA78FA"/>
    <w:rsid w:val="00BF406E"/>
    <w:rsid w:val="00C64645"/>
    <w:rsid w:val="00C93065"/>
    <w:rsid w:val="00CE40F6"/>
    <w:rsid w:val="00D101F9"/>
    <w:rsid w:val="00D145D4"/>
    <w:rsid w:val="00D8781B"/>
    <w:rsid w:val="00F91519"/>
    <w:rsid w:val="00FB58D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87785B-C41F-4943-89F2-B19F65228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BA7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BA78FA"/>
    <w:rPr>
      <w:color w:val="0563C1" w:themeColor="hyperlink"/>
      <w:u w:val="single"/>
    </w:rPr>
  </w:style>
  <w:style w:type="paragraph" w:styleId="Listenabsatz">
    <w:name w:val="List Paragraph"/>
    <w:basedOn w:val="Standard"/>
    <w:uiPriority w:val="34"/>
    <w:qFormat/>
    <w:rsid w:val="005E60B8"/>
    <w:pPr>
      <w:ind w:left="720"/>
      <w:contextualSpacing/>
    </w:pPr>
  </w:style>
  <w:style w:type="paragraph" w:styleId="Sprechblasentext">
    <w:name w:val="Balloon Text"/>
    <w:basedOn w:val="Standard"/>
    <w:link w:val="SprechblasentextZchn"/>
    <w:uiPriority w:val="99"/>
    <w:semiHidden/>
    <w:unhideWhenUsed/>
    <w:rsid w:val="00F915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91519"/>
    <w:rPr>
      <w:rFonts w:ascii="Tahoma" w:hAnsi="Tahoma" w:cs="Tahoma"/>
      <w:sz w:val="16"/>
      <w:szCs w:val="16"/>
    </w:rPr>
  </w:style>
  <w:style w:type="paragraph" w:styleId="Kopfzeile">
    <w:name w:val="header"/>
    <w:basedOn w:val="Standard"/>
    <w:link w:val="KopfzeileZchn"/>
    <w:uiPriority w:val="99"/>
    <w:unhideWhenUsed/>
    <w:rsid w:val="002C637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6377"/>
  </w:style>
  <w:style w:type="paragraph" w:styleId="Fuzeile">
    <w:name w:val="footer"/>
    <w:basedOn w:val="Standard"/>
    <w:link w:val="FuzeileZchn"/>
    <w:uiPriority w:val="99"/>
    <w:unhideWhenUsed/>
    <w:rsid w:val="002C637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63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7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Datei:Cc-by_new.sv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hyperlink" Target="https://de.wikipedia.org/wiki/Creative_Commons" TargetMode="External"/><Relationship Id="rId12" Type="http://schemas.openxmlformats.org/officeDocument/2006/relationships/hyperlink" Target="https://de.wikipedia.org/wiki/Datei:Cc-sa.sv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tmp"/><Relationship Id="rId10" Type="http://schemas.openxmlformats.org/officeDocument/2006/relationships/hyperlink" Target="https://de.wikipedia.org/wiki/Datei:Cc-nc.sv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964</Words>
  <Characters>6077</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Sarah</cp:lastModifiedBy>
  <cp:revision>8</cp:revision>
  <dcterms:created xsi:type="dcterms:W3CDTF">2017-10-19T09:38:00Z</dcterms:created>
  <dcterms:modified xsi:type="dcterms:W3CDTF">2018-03-12T10:42:00Z</dcterms:modified>
</cp:coreProperties>
</file>